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EC6A80" w14:textId="77777777" w:rsidR="004F7B3F" w:rsidRPr="00403B5C" w:rsidRDefault="004F7B3F" w:rsidP="004F7B3F">
      <w:pPr>
        <w:spacing w:after="74" w:line="259" w:lineRule="auto"/>
        <w:ind w:right="1"/>
        <w:jc w:val="center"/>
        <w:rPr>
          <w:rFonts w:ascii="Lato" w:hAnsi="Lato" w:cs="Arial"/>
          <w:bCs/>
          <w:color w:val="auto"/>
        </w:rPr>
      </w:pPr>
      <w:r w:rsidRPr="00403B5C">
        <w:rPr>
          <w:rFonts w:ascii="Lato" w:eastAsia="Century Gothic" w:hAnsi="Lato" w:cs="Arial"/>
          <w:bCs/>
          <w:color w:val="auto"/>
          <w:sz w:val="51"/>
        </w:rPr>
        <w:t xml:space="preserve">SZCZEGÓŁOWA </w:t>
      </w:r>
    </w:p>
    <w:p w14:paraId="33BE6999" w14:textId="77777777" w:rsidR="004F7B3F" w:rsidRPr="00403B5C" w:rsidRDefault="004F7B3F" w:rsidP="004F7B3F">
      <w:pPr>
        <w:spacing w:after="71" w:line="259" w:lineRule="auto"/>
        <w:ind w:left="0" w:right="1143" w:firstLine="0"/>
        <w:jc w:val="right"/>
        <w:rPr>
          <w:rFonts w:ascii="Lato" w:hAnsi="Lato" w:cs="Arial"/>
          <w:bCs/>
          <w:color w:val="auto"/>
        </w:rPr>
      </w:pPr>
      <w:r w:rsidRPr="00403B5C">
        <w:rPr>
          <w:rFonts w:ascii="Lato" w:eastAsia="Century Gothic" w:hAnsi="Lato" w:cs="Arial"/>
          <w:bCs/>
          <w:color w:val="auto"/>
          <w:sz w:val="51"/>
        </w:rPr>
        <w:t xml:space="preserve">SPECYFIKACJA TECHNICZNA  </w:t>
      </w:r>
    </w:p>
    <w:p w14:paraId="2AE5D5CB" w14:textId="77777777" w:rsidR="004F7B3F" w:rsidRPr="00403B5C" w:rsidRDefault="004F7B3F" w:rsidP="004F7B3F">
      <w:pPr>
        <w:spacing w:after="0" w:line="259" w:lineRule="auto"/>
        <w:ind w:left="768" w:firstLine="0"/>
        <w:jc w:val="left"/>
        <w:rPr>
          <w:rFonts w:ascii="Lato" w:hAnsi="Lato" w:cs="Arial"/>
          <w:bCs/>
          <w:color w:val="auto"/>
        </w:rPr>
      </w:pPr>
      <w:r w:rsidRPr="00403B5C">
        <w:rPr>
          <w:rFonts w:ascii="Lato" w:eastAsia="Century Gothic" w:hAnsi="Lato" w:cs="Arial"/>
          <w:bCs/>
          <w:color w:val="auto"/>
          <w:sz w:val="51"/>
        </w:rPr>
        <w:t xml:space="preserve">WYKONANIA I ODBIORU ROBÓT </w:t>
      </w:r>
    </w:p>
    <w:p w14:paraId="4E47A3F6" w14:textId="77777777" w:rsidR="004F7B3F" w:rsidRPr="00403B5C" w:rsidRDefault="004F7B3F" w:rsidP="004F7B3F">
      <w:pPr>
        <w:spacing w:after="19" w:line="268" w:lineRule="auto"/>
        <w:ind w:left="1233" w:right="1225"/>
        <w:jc w:val="center"/>
        <w:rPr>
          <w:rFonts w:ascii="Lato" w:hAnsi="Lato"/>
          <w:bCs/>
          <w:color w:val="auto"/>
          <w:sz w:val="36"/>
        </w:rPr>
      </w:pPr>
    </w:p>
    <w:p w14:paraId="2D69FEB1" w14:textId="753DFA9D" w:rsidR="004F7B3F" w:rsidRPr="00403B5C" w:rsidRDefault="004F7B3F" w:rsidP="004F7B3F">
      <w:pPr>
        <w:spacing w:after="0" w:line="240" w:lineRule="auto"/>
        <w:ind w:left="3842" w:right="3844" w:hanging="302"/>
        <w:jc w:val="center"/>
        <w:rPr>
          <w:rFonts w:ascii="Lato" w:eastAsia="Century Gothic" w:hAnsi="Lato" w:cs="Arial"/>
          <w:bCs/>
          <w:color w:val="auto"/>
          <w:sz w:val="47"/>
        </w:rPr>
      </w:pPr>
      <w:r w:rsidRPr="00403B5C">
        <w:rPr>
          <w:rFonts w:ascii="Lato" w:eastAsia="Century Gothic" w:hAnsi="Lato" w:cs="Arial"/>
          <w:bCs/>
          <w:color w:val="auto"/>
          <w:sz w:val="47"/>
        </w:rPr>
        <w:t>SST 10.0</w:t>
      </w:r>
    </w:p>
    <w:p w14:paraId="16381E5A" w14:textId="2E944A2B" w:rsidR="004F7B3F" w:rsidRPr="00403B5C" w:rsidRDefault="004F7B3F" w:rsidP="004F7B3F">
      <w:pPr>
        <w:spacing w:after="0" w:line="240" w:lineRule="auto"/>
        <w:ind w:left="3842" w:right="3844" w:hanging="302"/>
        <w:jc w:val="center"/>
        <w:rPr>
          <w:rFonts w:ascii="Lato" w:eastAsia="Century Gothic" w:hAnsi="Lato" w:cs="Arial"/>
          <w:bCs/>
          <w:color w:val="auto"/>
          <w:sz w:val="47"/>
        </w:rPr>
      </w:pPr>
    </w:p>
    <w:p w14:paraId="09EE2BAA" w14:textId="110DDCA5" w:rsidR="004F7B3F" w:rsidRPr="00403B5C" w:rsidRDefault="004F7B3F" w:rsidP="004F7B3F">
      <w:pPr>
        <w:spacing w:after="0" w:line="240" w:lineRule="auto"/>
        <w:ind w:left="3842" w:right="3844" w:hanging="302"/>
        <w:jc w:val="center"/>
        <w:rPr>
          <w:rFonts w:ascii="Lato" w:eastAsia="Century Gothic" w:hAnsi="Lato" w:cs="Arial"/>
          <w:bCs/>
          <w:color w:val="auto"/>
          <w:sz w:val="47"/>
        </w:rPr>
      </w:pPr>
    </w:p>
    <w:p w14:paraId="5BD66F25" w14:textId="77777777" w:rsidR="004F7B3F" w:rsidRPr="00403B5C" w:rsidRDefault="004F7B3F" w:rsidP="004F7B3F">
      <w:pPr>
        <w:spacing w:after="0" w:line="240" w:lineRule="auto"/>
        <w:ind w:left="3842" w:right="3844" w:hanging="302"/>
        <w:jc w:val="center"/>
        <w:rPr>
          <w:rFonts w:ascii="Lato" w:eastAsia="Century Gothic" w:hAnsi="Lato" w:cs="Arial"/>
          <w:bCs/>
          <w:color w:val="auto"/>
          <w:sz w:val="47"/>
        </w:rPr>
      </w:pPr>
    </w:p>
    <w:p w14:paraId="193FC3E9" w14:textId="6C80B9D3" w:rsidR="004F7B3F" w:rsidRPr="00403B5C" w:rsidRDefault="004F7B3F" w:rsidP="004F7B3F">
      <w:pPr>
        <w:spacing w:after="0" w:line="240" w:lineRule="auto"/>
        <w:ind w:left="2977" w:right="2540" w:hanging="145"/>
        <w:jc w:val="left"/>
        <w:rPr>
          <w:rFonts w:ascii="Lato" w:eastAsia="Century Gothic" w:hAnsi="Lato" w:cs="Arial"/>
          <w:bCs/>
          <w:color w:val="auto"/>
          <w:sz w:val="36"/>
          <w:szCs w:val="36"/>
        </w:rPr>
      </w:pPr>
      <w:r w:rsidRPr="00403B5C">
        <w:rPr>
          <w:rFonts w:ascii="Lato" w:hAnsi="Lato" w:cs="Arial"/>
          <w:bCs/>
          <w:color w:val="auto"/>
          <w:sz w:val="36"/>
          <w:szCs w:val="36"/>
        </w:rPr>
        <w:t>Kod CPV 45442100-8</w:t>
      </w:r>
    </w:p>
    <w:p w14:paraId="1BC1984D" w14:textId="77777777" w:rsidR="006E2DFB" w:rsidRPr="00403B5C" w:rsidRDefault="00AA110B" w:rsidP="004F7B3F">
      <w:pPr>
        <w:spacing w:after="32" w:line="259" w:lineRule="auto"/>
        <w:ind w:right="0"/>
        <w:jc w:val="center"/>
        <w:rPr>
          <w:rFonts w:ascii="Lato" w:hAnsi="Lato" w:cs="Arial"/>
          <w:bCs/>
          <w:color w:val="auto"/>
          <w:sz w:val="36"/>
          <w:szCs w:val="36"/>
        </w:rPr>
      </w:pPr>
      <w:r w:rsidRPr="00403B5C">
        <w:rPr>
          <w:rFonts w:ascii="Lato" w:hAnsi="Lato" w:cs="Arial"/>
          <w:bCs/>
          <w:color w:val="auto"/>
          <w:sz w:val="36"/>
          <w:szCs w:val="36"/>
        </w:rPr>
        <w:t>ROBOTY MALARSKIE</w:t>
      </w:r>
    </w:p>
    <w:p w14:paraId="6CFC88DA" w14:textId="790421DE" w:rsidR="006E2DFB" w:rsidRPr="00C12CF0" w:rsidRDefault="00AA110B">
      <w:pPr>
        <w:spacing w:after="32" w:line="259" w:lineRule="auto"/>
        <w:ind w:left="2537" w:right="0"/>
        <w:jc w:val="left"/>
        <w:rPr>
          <w:color w:val="auto"/>
        </w:rPr>
      </w:pPr>
      <w:r w:rsidRPr="00C12CF0">
        <w:rPr>
          <w:color w:val="auto"/>
        </w:rPr>
        <w:br w:type="page"/>
      </w:r>
    </w:p>
    <w:p w14:paraId="2F1B0CF5" w14:textId="77777777" w:rsidR="006E2DFB" w:rsidRPr="00862FE5" w:rsidRDefault="00AA110B" w:rsidP="00862FE5">
      <w:pPr>
        <w:spacing w:after="582" w:line="419" w:lineRule="auto"/>
        <w:ind w:right="1"/>
        <w:jc w:val="left"/>
        <w:rPr>
          <w:rFonts w:ascii="Lato" w:hAnsi="Lato" w:cs="Arial"/>
          <w:b/>
          <w:bCs/>
          <w:color w:val="auto"/>
          <w:sz w:val="20"/>
          <w:szCs w:val="20"/>
        </w:rPr>
      </w:pPr>
      <w:r w:rsidRPr="00862FE5">
        <w:rPr>
          <w:rFonts w:ascii="Lato" w:hAnsi="Lato" w:cs="Arial"/>
          <w:b/>
          <w:bCs/>
          <w:color w:val="auto"/>
          <w:sz w:val="20"/>
          <w:szCs w:val="20"/>
        </w:rPr>
        <w:lastRenderedPageBreak/>
        <w:t>SPIS TREŚCI</w:t>
      </w:r>
    </w:p>
    <w:p w14:paraId="3BCCCCED" w14:textId="77777777" w:rsidR="006E2DFB" w:rsidRPr="00862FE5" w:rsidRDefault="00AA110B">
      <w:pPr>
        <w:numPr>
          <w:ilvl w:val="0"/>
          <w:numId w:val="1"/>
        </w:numPr>
        <w:spacing w:after="31"/>
        <w:ind w:right="0" w:hanging="370"/>
        <w:rPr>
          <w:rFonts w:ascii="Lato" w:hAnsi="Lato" w:cs="Arial"/>
          <w:color w:val="auto"/>
          <w:sz w:val="20"/>
          <w:szCs w:val="20"/>
        </w:rPr>
      </w:pPr>
      <w:r w:rsidRPr="00862FE5">
        <w:rPr>
          <w:rFonts w:ascii="Lato" w:hAnsi="Lato" w:cs="Arial"/>
          <w:color w:val="auto"/>
          <w:sz w:val="20"/>
          <w:szCs w:val="20"/>
        </w:rPr>
        <w:t xml:space="preserve">CZĘŚĆ OGÓLNA </w:t>
      </w:r>
    </w:p>
    <w:p w14:paraId="3ADE633C" w14:textId="77777777" w:rsidR="006E2DFB" w:rsidRPr="00862FE5" w:rsidRDefault="00AA110B">
      <w:pPr>
        <w:numPr>
          <w:ilvl w:val="0"/>
          <w:numId w:val="1"/>
        </w:numPr>
        <w:spacing w:after="31"/>
        <w:ind w:right="0" w:hanging="370"/>
        <w:rPr>
          <w:rFonts w:ascii="Lato" w:hAnsi="Lato" w:cs="Arial"/>
          <w:color w:val="auto"/>
          <w:sz w:val="20"/>
          <w:szCs w:val="20"/>
        </w:rPr>
      </w:pPr>
      <w:r w:rsidRPr="00862FE5">
        <w:rPr>
          <w:rFonts w:ascii="Lato" w:hAnsi="Lato" w:cs="Arial"/>
          <w:color w:val="auto"/>
          <w:sz w:val="20"/>
          <w:szCs w:val="20"/>
        </w:rPr>
        <w:t xml:space="preserve">WYMAGANIA DOTYCZĄCE WŁAŚCIWOŚCI MATERIAŁÓW </w:t>
      </w:r>
    </w:p>
    <w:p w14:paraId="0091C50D" w14:textId="77777777" w:rsidR="006E2DFB" w:rsidRPr="00862FE5" w:rsidRDefault="00AA110B">
      <w:pPr>
        <w:numPr>
          <w:ilvl w:val="0"/>
          <w:numId w:val="1"/>
        </w:numPr>
        <w:spacing w:after="31"/>
        <w:ind w:right="0" w:hanging="370"/>
        <w:rPr>
          <w:rFonts w:ascii="Lato" w:hAnsi="Lato" w:cs="Arial"/>
          <w:color w:val="auto"/>
          <w:sz w:val="20"/>
          <w:szCs w:val="20"/>
        </w:rPr>
      </w:pPr>
      <w:r w:rsidRPr="00862FE5">
        <w:rPr>
          <w:rFonts w:ascii="Lato" w:hAnsi="Lato" w:cs="Arial"/>
          <w:color w:val="auto"/>
          <w:sz w:val="20"/>
          <w:szCs w:val="20"/>
        </w:rPr>
        <w:t xml:space="preserve">WYMAGANIA DOTYCZĄCE SPRZĘTU, MASZYN I NARZĘDZI </w:t>
      </w:r>
    </w:p>
    <w:p w14:paraId="73412570" w14:textId="77777777" w:rsidR="006E2DFB" w:rsidRPr="00862FE5" w:rsidRDefault="00AA110B">
      <w:pPr>
        <w:numPr>
          <w:ilvl w:val="0"/>
          <w:numId w:val="1"/>
        </w:numPr>
        <w:spacing w:after="31"/>
        <w:ind w:right="0" w:hanging="370"/>
        <w:rPr>
          <w:rFonts w:ascii="Lato" w:hAnsi="Lato" w:cs="Arial"/>
          <w:color w:val="auto"/>
          <w:sz w:val="20"/>
          <w:szCs w:val="20"/>
        </w:rPr>
      </w:pPr>
      <w:r w:rsidRPr="00862FE5">
        <w:rPr>
          <w:rFonts w:ascii="Lato" w:hAnsi="Lato" w:cs="Arial"/>
          <w:color w:val="auto"/>
          <w:sz w:val="20"/>
          <w:szCs w:val="20"/>
        </w:rPr>
        <w:t xml:space="preserve">WYMAGANIA DOTYCZĄCE TRANSPORTU </w:t>
      </w:r>
    </w:p>
    <w:p w14:paraId="25462FDA" w14:textId="77777777" w:rsidR="006E2DFB" w:rsidRPr="00862FE5" w:rsidRDefault="00AA110B">
      <w:pPr>
        <w:numPr>
          <w:ilvl w:val="0"/>
          <w:numId w:val="1"/>
        </w:numPr>
        <w:spacing w:after="31"/>
        <w:ind w:right="0" w:hanging="370"/>
        <w:rPr>
          <w:rFonts w:ascii="Lato" w:hAnsi="Lato" w:cs="Arial"/>
          <w:color w:val="auto"/>
          <w:sz w:val="20"/>
          <w:szCs w:val="20"/>
        </w:rPr>
      </w:pPr>
      <w:r w:rsidRPr="00862FE5">
        <w:rPr>
          <w:rFonts w:ascii="Lato" w:hAnsi="Lato" w:cs="Arial"/>
          <w:color w:val="auto"/>
          <w:sz w:val="20"/>
          <w:szCs w:val="20"/>
        </w:rPr>
        <w:t xml:space="preserve">WYMAGANIA DOTYCZĄCE WYKONANIA ROBÓT </w:t>
      </w:r>
    </w:p>
    <w:p w14:paraId="10A68E72" w14:textId="77777777" w:rsidR="006E2DFB" w:rsidRPr="00862FE5" w:rsidRDefault="00AA110B">
      <w:pPr>
        <w:numPr>
          <w:ilvl w:val="0"/>
          <w:numId w:val="1"/>
        </w:numPr>
        <w:spacing w:after="31"/>
        <w:ind w:right="0" w:hanging="370"/>
        <w:rPr>
          <w:rFonts w:ascii="Lato" w:hAnsi="Lato" w:cs="Arial"/>
          <w:color w:val="auto"/>
          <w:sz w:val="20"/>
          <w:szCs w:val="20"/>
        </w:rPr>
      </w:pPr>
      <w:r w:rsidRPr="00862FE5">
        <w:rPr>
          <w:rFonts w:ascii="Lato" w:hAnsi="Lato" w:cs="Arial"/>
          <w:color w:val="auto"/>
          <w:sz w:val="20"/>
          <w:szCs w:val="20"/>
        </w:rPr>
        <w:t xml:space="preserve">KONTROLA JAKOŚCI ROBÓT </w:t>
      </w:r>
    </w:p>
    <w:p w14:paraId="60B3737E" w14:textId="77777777" w:rsidR="006E2DFB" w:rsidRPr="00862FE5" w:rsidRDefault="00AA110B">
      <w:pPr>
        <w:numPr>
          <w:ilvl w:val="0"/>
          <w:numId w:val="1"/>
        </w:numPr>
        <w:spacing w:after="31"/>
        <w:ind w:right="0" w:hanging="370"/>
        <w:rPr>
          <w:rFonts w:ascii="Lato" w:hAnsi="Lato" w:cs="Arial"/>
          <w:color w:val="auto"/>
          <w:sz w:val="20"/>
          <w:szCs w:val="20"/>
        </w:rPr>
      </w:pPr>
      <w:r w:rsidRPr="00862FE5">
        <w:rPr>
          <w:rFonts w:ascii="Lato" w:hAnsi="Lato" w:cs="Arial"/>
          <w:color w:val="auto"/>
          <w:sz w:val="20"/>
          <w:szCs w:val="20"/>
        </w:rPr>
        <w:t>WYMAGANIA DOTYCZĄCE PRZEDMIARU I OBMIARU ROBÓT</w:t>
      </w:r>
    </w:p>
    <w:p w14:paraId="5F629EEF" w14:textId="77777777" w:rsidR="006E2DFB" w:rsidRPr="00862FE5" w:rsidRDefault="00AA110B">
      <w:pPr>
        <w:numPr>
          <w:ilvl w:val="0"/>
          <w:numId w:val="1"/>
        </w:numPr>
        <w:spacing w:after="31"/>
        <w:ind w:right="0" w:hanging="370"/>
        <w:rPr>
          <w:rFonts w:ascii="Lato" w:hAnsi="Lato" w:cs="Arial"/>
          <w:color w:val="auto"/>
          <w:sz w:val="20"/>
          <w:szCs w:val="20"/>
        </w:rPr>
      </w:pPr>
      <w:r w:rsidRPr="00862FE5">
        <w:rPr>
          <w:rFonts w:ascii="Lato" w:hAnsi="Lato" w:cs="Arial"/>
          <w:color w:val="auto"/>
          <w:sz w:val="20"/>
          <w:szCs w:val="20"/>
        </w:rPr>
        <w:t xml:space="preserve">SPOSÓB ODBIORU ROBÓT </w:t>
      </w:r>
    </w:p>
    <w:p w14:paraId="657821D2" w14:textId="77777777" w:rsidR="006E2DFB" w:rsidRPr="00862FE5" w:rsidRDefault="00AA110B">
      <w:pPr>
        <w:numPr>
          <w:ilvl w:val="0"/>
          <w:numId w:val="1"/>
        </w:numPr>
        <w:ind w:right="0" w:hanging="370"/>
        <w:rPr>
          <w:rFonts w:ascii="Lato" w:hAnsi="Lato" w:cs="Arial"/>
          <w:color w:val="auto"/>
          <w:sz w:val="20"/>
          <w:szCs w:val="20"/>
        </w:rPr>
      </w:pPr>
      <w:r w:rsidRPr="00862FE5">
        <w:rPr>
          <w:rFonts w:ascii="Lato" w:hAnsi="Lato" w:cs="Arial"/>
          <w:color w:val="auto"/>
          <w:sz w:val="20"/>
          <w:szCs w:val="20"/>
        </w:rPr>
        <w:t xml:space="preserve">PODSTAWA ROZLICZENIA ROBÓT PODSTAWOWYCH, TYMCZASOWYCH I PRACTOWARZYSZĄCYCH </w:t>
      </w:r>
    </w:p>
    <w:p w14:paraId="4CB65DD0" w14:textId="77777777" w:rsidR="006E2DFB" w:rsidRPr="00862FE5" w:rsidRDefault="00AA110B">
      <w:pPr>
        <w:numPr>
          <w:ilvl w:val="0"/>
          <w:numId w:val="1"/>
        </w:numPr>
        <w:spacing w:after="1223"/>
        <w:ind w:right="0" w:hanging="370"/>
        <w:rPr>
          <w:rFonts w:ascii="Lato" w:hAnsi="Lato" w:cs="Arial"/>
          <w:color w:val="auto"/>
          <w:sz w:val="20"/>
          <w:szCs w:val="20"/>
        </w:rPr>
      </w:pPr>
      <w:r w:rsidRPr="00862FE5">
        <w:rPr>
          <w:rFonts w:ascii="Lato" w:hAnsi="Lato" w:cs="Arial"/>
          <w:color w:val="auto"/>
          <w:sz w:val="20"/>
          <w:szCs w:val="20"/>
        </w:rPr>
        <w:t xml:space="preserve">DOKUMENTY ODNIESIENIA </w:t>
      </w:r>
    </w:p>
    <w:p w14:paraId="0B39DD51" w14:textId="77777777" w:rsidR="006E2DFB" w:rsidRPr="00862FE5" w:rsidRDefault="00AA110B">
      <w:pPr>
        <w:spacing w:after="31"/>
        <w:ind w:left="-5" w:right="0"/>
        <w:rPr>
          <w:rFonts w:ascii="Lato" w:hAnsi="Lato" w:cs="Arial"/>
          <w:b/>
          <w:bCs/>
          <w:color w:val="auto"/>
          <w:sz w:val="20"/>
          <w:szCs w:val="20"/>
        </w:rPr>
      </w:pPr>
      <w:r w:rsidRPr="00862FE5">
        <w:rPr>
          <w:rFonts w:ascii="Lato" w:hAnsi="Lato" w:cs="Arial"/>
          <w:b/>
          <w:bCs/>
          <w:color w:val="auto"/>
          <w:sz w:val="20"/>
          <w:szCs w:val="20"/>
        </w:rPr>
        <w:t>Najważniejsze oznaczenia i skróty:</w:t>
      </w:r>
    </w:p>
    <w:p w14:paraId="45EC1D5B" w14:textId="77777777" w:rsidR="006E2DFB" w:rsidRPr="00862FE5" w:rsidRDefault="00AA110B">
      <w:pPr>
        <w:spacing w:after="31"/>
        <w:ind w:left="-5" w:right="0"/>
        <w:rPr>
          <w:rFonts w:ascii="Lato" w:hAnsi="Lato" w:cs="Arial"/>
          <w:b/>
          <w:bCs/>
          <w:color w:val="auto"/>
          <w:sz w:val="20"/>
          <w:szCs w:val="20"/>
        </w:rPr>
      </w:pPr>
      <w:r w:rsidRPr="00862FE5">
        <w:rPr>
          <w:rFonts w:ascii="Lato" w:hAnsi="Lato" w:cs="Arial"/>
          <w:b/>
          <w:bCs/>
          <w:color w:val="auto"/>
          <w:sz w:val="20"/>
          <w:szCs w:val="20"/>
        </w:rPr>
        <w:t>ST – Specyfikacja Techniczna</w:t>
      </w:r>
    </w:p>
    <w:p w14:paraId="0E2EF6FE" w14:textId="77777777" w:rsidR="006E2DFB" w:rsidRPr="00862FE5" w:rsidRDefault="00AA110B">
      <w:pPr>
        <w:spacing w:after="31"/>
        <w:ind w:left="-5" w:right="0"/>
        <w:rPr>
          <w:rFonts w:ascii="Lato" w:hAnsi="Lato" w:cs="Arial"/>
          <w:b/>
          <w:bCs/>
          <w:color w:val="auto"/>
          <w:sz w:val="20"/>
          <w:szCs w:val="20"/>
        </w:rPr>
      </w:pPr>
      <w:r w:rsidRPr="00862FE5">
        <w:rPr>
          <w:rFonts w:ascii="Lato" w:hAnsi="Lato" w:cs="Arial"/>
          <w:b/>
          <w:bCs/>
          <w:color w:val="auto"/>
          <w:sz w:val="20"/>
          <w:szCs w:val="20"/>
        </w:rPr>
        <w:t>SST – Szczegółowa Specyfikacja Techniczna</w:t>
      </w:r>
    </w:p>
    <w:p w14:paraId="3AC613F7" w14:textId="77777777" w:rsidR="006E2DFB" w:rsidRPr="00862FE5" w:rsidRDefault="00AA110B">
      <w:pPr>
        <w:spacing w:after="31"/>
        <w:ind w:left="-5" w:right="0"/>
        <w:rPr>
          <w:rFonts w:ascii="Lato" w:hAnsi="Lato" w:cs="Arial"/>
          <w:b/>
          <w:bCs/>
          <w:color w:val="auto"/>
          <w:sz w:val="20"/>
          <w:szCs w:val="20"/>
        </w:rPr>
      </w:pPr>
      <w:r w:rsidRPr="00862FE5">
        <w:rPr>
          <w:rFonts w:ascii="Lato" w:hAnsi="Lato" w:cs="Arial"/>
          <w:b/>
          <w:bCs/>
          <w:color w:val="auto"/>
          <w:sz w:val="20"/>
          <w:szCs w:val="20"/>
        </w:rPr>
        <w:t>ITB – Instytut Techniki Budowlanej</w:t>
      </w:r>
    </w:p>
    <w:p w14:paraId="6DF3B0BD" w14:textId="1AC3DF25" w:rsidR="006E2DFB" w:rsidRPr="00862FE5" w:rsidRDefault="00AA110B" w:rsidP="004F7B3F">
      <w:pPr>
        <w:spacing w:after="31"/>
        <w:ind w:left="-5" w:right="0"/>
        <w:rPr>
          <w:rFonts w:ascii="Lato" w:hAnsi="Lato"/>
          <w:color w:val="auto"/>
          <w:sz w:val="20"/>
          <w:szCs w:val="20"/>
        </w:rPr>
      </w:pPr>
      <w:r w:rsidRPr="00862FE5">
        <w:rPr>
          <w:rFonts w:ascii="Lato" w:hAnsi="Lato" w:cs="Arial"/>
          <w:b/>
          <w:bCs/>
          <w:color w:val="auto"/>
          <w:sz w:val="20"/>
          <w:szCs w:val="20"/>
        </w:rPr>
        <w:t>PZJ – Program Zabezpieczenia Jakości</w:t>
      </w:r>
      <w:r w:rsidRPr="00862FE5">
        <w:rPr>
          <w:rFonts w:ascii="Lato" w:hAnsi="Lato"/>
          <w:color w:val="auto"/>
          <w:sz w:val="20"/>
          <w:szCs w:val="20"/>
        </w:rPr>
        <w:br w:type="page"/>
      </w:r>
    </w:p>
    <w:p w14:paraId="38D03F0B" w14:textId="4E894C19" w:rsidR="006E2DFB" w:rsidRPr="00862FE5" w:rsidRDefault="00AA110B" w:rsidP="004F7B3F">
      <w:pPr>
        <w:numPr>
          <w:ilvl w:val="0"/>
          <w:numId w:val="2"/>
        </w:numPr>
        <w:spacing w:after="0" w:line="248" w:lineRule="auto"/>
        <w:ind w:right="0" w:hanging="391"/>
        <w:jc w:val="left"/>
        <w:rPr>
          <w:rFonts w:ascii="Lato" w:hAnsi="Lato" w:cs="Arial"/>
          <w:b/>
          <w:bCs/>
          <w:color w:val="auto"/>
          <w:sz w:val="20"/>
          <w:szCs w:val="20"/>
        </w:rPr>
      </w:pPr>
      <w:r w:rsidRPr="00862FE5">
        <w:rPr>
          <w:rFonts w:ascii="Lato" w:hAnsi="Lato" w:cs="Arial"/>
          <w:b/>
          <w:bCs/>
          <w:color w:val="auto"/>
          <w:sz w:val="20"/>
          <w:szCs w:val="20"/>
        </w:rPr>
        <w:lastRenderedPageBreak/>
        <w:t>CZĘŚĆ OGÓLNA</w:t>
      </w:r>
    </w:p>
    <w:p w14:paraId="0439317A" w14:textId="77777777" w:rsidR="004F7B3F" w:rsidRPr="00862FE5" w:rsidRDefault="004F7B3F" w:rsidP="004F7B3F">
      <w:pPr>
        <w:spacing w:after="0" w:line="248" w:lineRule="auto"/>
        <w:ind w:left="391" w:right="0" w:firstLine="0"/>
        <w:jc w:val="left"/>
        <w:rPr>
          <w:rFonts w:ascii="Lato" w:hAnsi="Lato" w:cs="Arial"/>
          <w:b/>
          <w:bCs/>
          <w:color w:val="auto"/>
          <w:sz w:val="20"/>
          <w:szCs w:val="20"/>
        </w:rPr>
      </w:pPr>
    </w:p>
    <w:p w14:paraId="56A57716" w14:textId="5FA7D623" w:rsidR="008C3B65" w:rsidRPr="000A19FA" w:rsidRDefault="00AA110B" w:rsidP="000A19FA">
      <w:pPr>
        <w:numPr>
          <w:ilvl w:val="1"/>
          <w:numId w:val="2"/>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Nazwa nadana zamówieniu przez zamawiającego</w:t>
      </w:r>
    </w:p>
    <w:p w14:paraId="2D5627D7" w14:textId="77777777" w:rsidR="000A19FA" w:rsidRPr="000A19FA" w:rsidRDefault="000A19FA" w:rsidP="000A19FA">
      <w:pPr>
        <w:spacing w:after="0" w:line="240" w:lineRule="auto"/>
        <w:ind w:left="-5"/>
        <w:jc w:val="left"/>
        <w:rPr>
          <w:rFonts w:ascii="Lato" w:hAnsi="Lato" w:cs="Arial"/>
          <w:color w:val="auto"/>
          <w:sz w:val="20"/>
          <w:szCs w:val="20"/>
        </w:rPr>
      </w:pPr>
      <w:r w:rsidRPr="000A19FA">
        <w:rPr>
          <w:rFonts w:ascii="Lato" w:hAnsi="Lato" w:cs="Arial"/>
          <w:color w:val="auto"/>
          <w:sz w:val="20"/>
          <w:szCs w:val="20"/>
        </w:rPr>
        <w:t>ROZBUDOWA I PRZEBUDOWA BUDYNKU PRZEDSZKOLA MIEJSKIEGO NR 2 W RAMACH ZADANIA PN. POPRAWA EFEKTYWNOŚCI ENERGETYCZNEJ BUDYNKÓW PUBLICZNYCH NA TERENIE MOF ŁUKOWA – KOMPLEKSOWA MODERNIZACJA ENERGETYCZNA BUDYNKU PRZEDSZKOLA MIEJSKIEGO NR 2 W ŁUKOWIE WRAZ Z JEGO ROZBUDOWĄ I PRZEBUDOWĄ</w:t>
      </w:r>
    </w:p>
    <w:p w14:paraId="5D432DA8" w14:textId="77777777" w:rsidR="000A19FA" w:rsidRPr="000A19FA" w:rsidRDefault="000A19FA" w:rsidP="000A19FA">
      <w:pPr>
        <w:spacing w:after="0" w:line="240" w:lineRule="auto"/>
        <w:ind w:left="-5"/>
        <w:jc w:val="left"/>
        <w:rPr>
          <w:rFonts w:ascii="Lato" w:hAnsi="Lato" w:cs="Arial"/>
          <w:b/>
          <w:bCs/>
          <w:color w:val="auto"/>
          <w:sz w:val="20"/>
          <w:szCs w:val="20"/>
        </w:rPr>
      </w:pPr>
      <w:r w:rsidRPr="000A19FA">
        <w:rPr>
          <w:rFonts w:ascii="Lato" w:hAnsi="Lato" w:cs="Arial"/>
          <w:b/>
          <w:bCs/>
          <w:color w:val="auto"/>
          <w:sz w:val="20"/>
          <w:szCs w:val="20"/>
        </w:rPr>
        <w:t xml:space="preserve">Zamawiający: </w:t>
      </w:r>
    </w:p>
    <w:p w14:paraId="753B7BF7" w14:textId="77777777" w:rsidR="000A19FA" w:rsidRPr="000A19FA" w:rsidRDefault="000A19FA" w:rsidP="000A19FA">
      <w:pPr>
        <w:spacing w:after="0" w:line="240" w:lineRule="auto"/>
        <w:ind w:left="-5"/>
        <w:jc w:val="left"/>
        <w:rPr>
          <w:rFonts w:ascii="Lato" w:hAnsi="Lato" w:cs="Arial"/>
          <w:color w:val="auto"/>
          <w:sz w:val="20"/>
          <w:szCs w:val="20"/>
        </w:rPr>
      </w:pPr>
      <w:r w:rsidRPr="000A19FA">
        <w:rPr>
          <w:rFonts w:ascii="Lato" w:hAnsi="Lato" w:cs="Arial"/>
          <w:color w:val="auto"/>
          <w:sz w:val="20"/>
          <w:szCs w:val="20"/>
        </w:rPr>
        <w:t>MIASTO ŁUKÓW</w:t>
      </w:r>
    </w:p>
    <w:p w14:paraId="060FAF31" w14:textId="77777777" w:rsidR="000A19FA" w:rsidRPr="000A19FA" w:rsidRDefault="000A19FA" w:rsidP="000A19FA">
      <w:pPr>
        <w:spacing w:after="0" w:line="240" w:lineRule="auto"/>
        <w:ind w:left="-5"/>
        <w:jc w:val="left"/>
        <w:rPr>
          <w:rFonts w:ascii="Lato" w:hAnsi="Lato" w:cs="Arial"/>
          <w:color w:val="auto"/>
          <w:sz w:val="20"/>
          <w:szCs w:val="20"/>
        </w:rPr>
      </w:pPr>
      <w:r w:rsidRPr="000A19FA">
        <w:rPr>
          <w:rFonts w:ascii="Lato" w:hAnsi="Lato" w:cs="Arial"/>
          <w:color w:val="auto"/>
          <w:sz w:val="20"/>
          <w:szCs w:val="20"/>
        </w:rPr>
        <w:t>UL. PIŁSUDSKIEGO 17, 21-400 ŁUKÓW</w:t>
      </w:r>
    </w:p>
    <w:p w14:paraId="22C0930A" w14:textId="77777777" w:rsidR="000A19FA" w:rsidRPr="000A19FA" w:rsidRDefault="000A19FA" w:rsidP="000A19FA">
      <w:pPr>
        <w:spacing w:after="0" w:line="240" w:lineRule="auto"/>
        <w:ind w:left="-5"/>
        <w:jc w:val="left"/>
        <w:rPr>
          <w:rFonts w:ascii="Lato" w:hAnsi="Lato" w:cs="Arial"/>
          <w:b/>
          <w:bCs/>
          <w:color w:val="auto"/>
          <w:sz w:val="20"/>
          <w:szCs w:val="20"/>
        </w:rPr>
      </w:pPr>
      <w:r w:rsidRPr="000A19FA">
        <w:rPr>
          <w:rFonts w:ascii="Lato" w:hAnsi="Lato" w:cs="Arial"/>
          <w:b/>
          <w:bCs/>
          <w:color w:val="auto"/>
          <w:sz w:val="20"/>
          <w:szCs w:val="20"/>
        </w:rPr>
        <w:t xml:space="preserve">Miejsce realizacji: </w:t>
      </w:r>
    </w:p>
    <w:p w14:paraId="3BEA24E9" w14:textId="50D5AEDD" w:rsidR="008C3B65" w:rsidRDefault="000A19FA" w:rsidP="000A19FA">
      <w:pPr>
        <w:spacing w:after="0" w:line="240" w:lineRule="auto"/>
        <w:ind w:left="-5"/>
        <w:jc w:val="left"/>
        <w:rPr>
          <w:rFonts w:ascii="Lato" w:hAnsi="Lato" w:cs="Arial"/>
          <w:color w:val="auto"/>
          <w:sz w:val="20"/>
          <w:szCs w:val="20"/>
        </w:rPr>
      </w:pPr>
      <w:r w:rsidRPr="000A19FA">
        <w:rPr>
          <w:rFonts w:ascii="Lato" w:hAnsi="Lato" w:cs="Arial"/>
          <w:color w:val="auto"/>
          <w:sz w:val="20"/>
          <w:szCs w:val="20"/>
        </w:rPr>
        <w:t>DZ. NR EW.: 8453/6, OBRĘB  0003 ŁUKÓW, JEDN. EW. 061101_1 ŁUKÓW (UL. PIŁSUDSKIEGO 18,   21-400 ŁUKÓW)</w:t>
      </w:r>
    </w:p>
    <w:p w14:paraId="42499F63" w14:textId="77777777" w:rsidR="000A19FA" w:rsidRPr="00862FE5" w:rsidRDefault="000A19FA" w:rsidP="000A19FA">
      <w:pPr>
        <w:spacing w:after="0" w:line="240" w:lineRule="auto"/>
        <w:ind w:left="-5"/>
        <w:jc w:val="left"/>
        <w:rPr>
          <w:rFonts w:ascii="Lato" w:hAnsi="Lato" w:cs="Arial"/>
          <w:color w:val="auto"/>
          <w:sz w:val="20"/>
          <w:szCs w:val="20"/>
        </w:rPr>
      </w:pPr>
    </w:p>
    <w:p w14:paraId="0A1DB353" w14:textId="77777777" w:rsidR="006E2DFB" w:rsidRPr="00862FE5" w:rsidRDefault="00AA110B" w:rsidP="004F7B3F">
      <w:pPr>
        <w:numPr>
          <w:ilvl w:val="1"/>
          <w:numId w:val="2"/>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Przedmiot ST</w:t>
      </w:r>
    </w:p>
    <w:p w14:paraId="307521CA" w14:textId="4480FB6F"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Przedmiotem niniejszej specyfikacji technicznej (SST) są wymagania dotyczące wykonania i odbioru robót malarskich realizowanych wewnątrz i na zewnątrz obiektów budowlanych nie narażonych na agresję chemiczną w ramach powyższego zadania.</w:t>
      </w:r>
    </w:p>
    <w:p w14:paraId="233AB86D" w14:textId="77777777" w:rsidR="004F7B3F" w:rsidRPr="00862FE5" w:rsidRDefault="004F7B3F" w:rsidP="004F7B3F">
      <w:pPr>
        <w:spacing w:after="0"/>
        <w:ind w:left="-5" w:right="0"/>
        <w:rPr>
          <w:rFonts w:ascii="Lato" w:hAnsi="Lato" w:cs="Arial"/>
          <w:color w:val="auto"/>
          <w:sz w:val="20"/>
          <w:szCs w:val="20"/>
        </w:rPr>
      </w:pPr>
    </w:p>
    <w:p w14:paraId="189E036C" w14:textId="77777777" w:rsidR="006E2DFB" w:rsidRPr="00862FE5" w:rsidRDefault="00AA110B" w:rsidP="004F7B3F">
      <w:pPr>
        <w:numPr>
          <w:ilvl w:val="1"/>
          <w:numId w:val="2"/>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Zakres stosowania ST</w:t>
      </w:r>
    </w:p>
    <w:p w14:paraId="00F61331"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Niniejsza specyfikacja techniczna (SST) jest dokumentem przetargowym i kontraktowym przy zlecaniu i realizacji robót wymienionych w pkt. 1.2.</w:t>
      </w:r>
    </w:p>
    <w:p w14:paraId="7B4AE0D1" w14:textId="1EC2050B"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14482980" w14:textId="77777777" w:rsidR="004F7B3F" w:rsidRPr="00862FE5" w:rsidRDefault="004F7B3F" w:rsidP="004F7B3F">
      <w:pPr>
        <w:spacing w:after="0"/>
        <w:ind w:left="-15" w:right="0" w:firstLine="286"/>
        <w:rPr>
          <w:rFonts w:ascii="Lato" w:hAnsi="Lato" w:cs="Arial"/>
          <w:b/>
          <w:bCs/>
          <w:color w:val="auto"/>
          <w:sz w:val="20"/>
          <w:szCs w:val="20"/>
        </w:rPr>
      </w:pPr>
    </w:p>
    <w:p w14:paraId="029F9D9A" w14:textId="77777777" w:rsidR="006E2DFB" w:rsidRPr="00862FE5" w:rsidRDefault="00AA110B" w:rsidP="004F7B3F">
      <w:pPr>
        <w:numPr>
          <w:ilvl w:val="1"/>
          <w:numId w:val="2"/>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Zakres robót objętych ST</w:t>
      </w:r>
    </w:p>
    <w:p w14:paraId="406DDCB6"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Specyfikacja dotyczy wykonania malowania wewnętrznego (wewnątrz pomieszczeń) i zewnętrznego (wystawionego na bezpośrednie działanie czynników atmosferycznych) obiektów budowlanych nie narażonych na agresję chemiczną i obejmuje wykonanie następujących czynności:</w:t>
      </w:r>
    </w:p>
    <w:p w14:paraId="51B8FBB3" w14:textId="77777777" w:rsidR="006E2DFB" w:rsidRPr="00862FE5" w:rsidRDefault="00AA110B" w:rsidP="004F7B3F">
      <w:pPr>
        <w:spacing w:after="0"/>
        <w:ind w:left="-5" w:right="5445"/>
        <w:rPr>
          <w:rFonts w:ascii="Lato" w:hAnsi="Lato" w:cs="Arial"/>
          <w:color w:val="auto"/>
          <w:sz w:val="20"/>
          <w:szCs w:val="20"/>
        </w:rPr>
      </w:pPr>
      <w:r w:rsidRPr="00862FE5">
        <w:rPr>
          <w:rFonts w:ascii="Lato" w:hAnsi="Lato" w:cs="Arial"/>
          <w:color w:val="auto"/>
          <w:sz w:val="20"/>
          <w:szCs w:val="20"/>
        </w:rPr>
        <w:t>– przygotowanie podłoża (wg pkt. 5.3.), – wykonanie powłok malarskich.</w:t>
      </w:r>
    </w:p>
    <w:p w14:paraId="409CDABE" w14:textId="6A3A8DA6"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Przedmiotem specyfikacji jest określenie wymagań odnośnie właściwości materiałów wykorzystywanych do robót malarskich, wymagań i sposobów oceny podłoży, wymagań dotyczących wykonania powłok malarskich wewnętrznych i zewnętrznych powierzchni obiektów oraz ich odbiorów.</w:t>
      </w:r>
    </w:p>
    <w:p w14:paraId="63590D97" w14:textId="77777777" w:rsidR="004F7B3F" w:rsidRPr="00862FE5" w:rsidRDefault="004F7B3F" w:rsidP="004F7B3F">
      <w:pPr>
        <w:spacing w:after="0"/>
        <w:ind w:left="-15" w:right="0" w:firstLine="286"/>
        <w:rPr>
          <w:rFonts w:ascii="Lato" w:hAnsi="Lato" w:cs="Arial"/>
          <w:b/>
          <w:bCs/>
          <w:color w:val="auto"/>
          <w:sz w:val="20"/>
          <w:szCs w:val="20"/>
        </w:rPr>
      </w:pPr>
    </w:p>
    <w:p w14:paraId="5C808742" w14:textId="384F287B" w:rsidR="006E2DFB" w:rsidRPr="00862FE5" w:rsidRDefault="00AA110B" w:rsidP="004F7B3F">
      <w:pPr>
        <w:pStyle w:val="Akapitzlist"/>
        <w:numPr>
          <w:ilvl w:val="1"/>
          <w:numId w:val="2"/>
        </w:numPr>
        <w:tabs>
          <w:tab w:val="center" w:pos="2376"/>
        </w:tabs>
        <w:spacing w:after="0" w:line="248" w:lineRule="auto"/>
        <w:ind w:right="0" w:hanging="582"/>
        <w:jc w:val="left"/>
        <w:rPr>
          <w:rFonts w:ascii="Lato" w:hAnsi="Lato" w:cs="Arial"/>
          <w:b/>
          <w:bCs/>
          <w:color w:val="auto"/>
          <w:sz w:val="20"/>
          <w:szCs w:val="20"/>
        </w:rPr>
      </w:pPr>
      <w:r w:rsidRPr="00862FE5">
        <w:rPr>
          <w:rFonts w:ascii="Lato" w:hAnsi="Lato" w:cs="Arial"/>
          <w:b/>
          <w:bCs/>
          <w:color w:val="auto"/>
          <w:sz w:val="20"/>
          <w:szCs w:val="20"/>
        </w:rPr>
        <w:t>Określenia podstawowe i definicje</w:t>
      </w:r>
    </w:p>
    <w:p w14:paraId="49D1DFD1"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Określenia podane w niniejszej Specyfikacji są zgodne z odpowiednimi normami oraz określeniami podanymi w ST „Wymagania ogólne” Kod CPV 45000000-7, pkt 1.4., a także zdefiniowanymi poniżej:</w:t>
      </w:r>
    </w:p>
    <w:p w14:paraId="138443E6"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Podłoże malarskie – surowa, zagruntowana lub wygładzona (np. szpachlówką) powierzchnia (np. muru, tynku, betonu, drewna, płyt drewnopodobnych, itp.), na której będzie wykonywana powłoka malarska.</w:t>
      </w:r>
    </w:p>
    <w:p w14:paraId="542D8267"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Powłoka malarska – stwardniała warstwa farby, lakieru lub emalii nałożona i rozprowadzona na podłożu, decydująca o właściwościach użytkowych i walorach estetycznych pomalowanej powierzchni.</w:t>
      </w:r>
    </w:p>
    <w:p w14:paraId="70F09DEE"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Farba – płynna lub półpłynna zawiesina bądź mieszanina bardzo rozdrobnionych ciał stałych (np. pigmentu – barwnika i różnych wypełniaczy) w roztworze spoiwa.</w:t>
      </w:r>
    </w:p>
    <w:p w14:paraId="59E79E9B"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Lakier – niepigmentowany roztwór koloidalny (np. żywic, olejów, poliestrów), który tworzy powłokę transparentną po pokryciu nim powierzchni i wyschnięciu.</w:t>
      </w:r>
    </w:p>
    <w:p w14:paraId="25BC96EC"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Emalia – lakier barwiony pigmentami, zastygający w szklistą powłokę.</w:t>
      </w:r>
    </w:p>
    <w:p w14:paraId="4EF6A3D1"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Pigment – naturalna lub sztuczna substancja barwna bądź barwiąca, która nadaje kolor farbom lub emaliom.</w:t>
      </w:r>
    </w:p>
    <w:p w14:paraId="66F758B9" w14:textId="1FD04D88"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Farba dyspersyjna – zawiesina pigmentów i wypełniaczy w dyspersji wodnej polimeru z dodatkiem środków pomocniczych.</w:t>
      </w:r>
    </w:p>
    <w:p w14:paraId="153B27BC" w14:textId="77777777" w:rsidR="004F7B3F" w:rsidRPr="00862FE5" w:rsidRDefault="004F7B3F" w:rsidP="004F7B3F">
      <w:pPr>
        <w:spacing w:after="0"/>
        <w:ind w:left="-5" w:right="0"/>
        <w:rPr>
          <w:rFonts w:ascii="Lato" w:hAnsi="Lato" w:cs="Arial"/>
          <w:color w:val="auto"/>
          <w:sz w:val="20"/>
          <w:szCs w:val="20"/>
        </w:rPr>
      </w:pPr>
    </w:p>
    <w:p w14:paraId="3A139C35" w14:textId="222EF2C2" w:rsidR="006E2DFB" w:rsidRPr="00862FE5" w:rsidRDefault="00AA110B" w:rsidP="004F7B3F">
      <w:pPr>
        <w:pStyle w:val="Akapitzlist"/>
        <w:numPr>
          <w:ilvl w:val="1"/>
          <w:numId w:val="2"/>
        </w:numPr>
        <w:tabs>
          <w:tab w:val="center" w:pos="3061"/>
        </w:tabs>
        <w:spacing w:after="0" w:line="248" w:lineRule="auto"/>
        <w:ind w:right="0" w:hanging="582"/>
        <w:jc w:val="left"/>
        <w:rPr>
          <w:rFonts w:ascii="Lato" w:hAnsi="Lato" w:cs="Arial"/>
          <w:b/>
          <w:bCs/>
          <w:color w:val="auto"/>
          <w:sz w:val="20"/>
          <w:szCs w:val="20"/>
        </w:rPr>
      </w:pPr>
      <w:r w:rsidRPr="00862FE5">
        <w:rPr>
          <w:rFonts w:ascii="Lato" w:hAnsi="Lato" w:cs="Arial"/>
          <w:b/>
          <w:bCs/>
          <w:color w:val="auto"/>
          <w:sz w:val="20"/>
          <w:szCs w:val="20"/>
        </w:rPr>
        <w:t>Ogólne wymagania dotyczące robót malarskich</w:t>
      </w:r>
    </w:p>
    <w:p w14:paraId="1D5C5F6B" w14:textId="19701C29"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Wykonawca robót jest odpowiedzialny za jakość ich wykonania oraz za zgodność z dokumentacją projektową, specyfikacjami technicznymi i poleceniami Inspektora nadzoru. Ogólne wymagania dotyczące robót podano w ST „Wymagania ogólne” Kod CPV 45000000-7, pkt 1.5.</w:t>
      </w:r>
    </w:p>
    <w:p w14:paraId="7CF50198" w14:textId="77777777" w:rsidR="004F7B3F" w:rsidRPr="00862FE5" w:rsidRDefault="004F7B3F" w:rsidP="004F7B3F">
      <w:pPr>
        <w:spacing w:after="0"/>
        <w:ind w:left="-5" w:right="0"/>
        <w:rPr>
          <w:rFonts w:ascii="Lato" w:hAnsi="Lato" w:cs="Arial"/>
          <w:color w:val="auto"/>
          <w:sz w:val="20"/>
          <w:szCs w:val="20"/>
        </w:rPr>
      </w:pPr>
    </w:p>
    <w:p w14:paraId="7BC54E41" w14:textId="4F0E783D" w:rsidR="006E2DFB" w:rsidRPr="00862FE5" w:rsidRDefault="00AA110B" w:rsidP="004F7B3F">
      <w:pPr>
        <w:pStyle w:val="Akapitzlist"/>
        <w:numPr>
          <w:ilvl w:val="1"/>
          <w:numId w:val="2"/>
        </w:numPr>
        <w:tabs>
          <w:tab w:val="center" w:pos="2245"/>
        </w:tabs>
        <w:spacing w:after="0" w:line="248" w:lineRule="auto"/>
        <w:ind w:right="0" w:hanging="582"/>
        <w:jc w:val="left"/>
        <w:rPr>
          <w:rFonts w:ascii="Lato" w:hAnsi="Lato" w:cs="Arial"/>
          <w:b/>
          <w:bCs/>
          <w:color w:val="auto"/>
          <w:sz w:val="20"/>
          <w:szCs w:val="20"/>
        </w:rPr>
      </w:pPr>
      <w:r w:rsidRPr="00862FE5">
        <w:rPr>
          <w:rFonts w:ascii="Lato" w:hAnsi="Lato" w:cs="Arial"/>
          <w:b/>
          <w:bCs/>
          <w:color w:val="auto"/>
          <w:sz w:val="20"/>
          <w:szCs w:val="20"/>
        </w:rPr>
        <w:t>Dokumentacja robót malarskich</w:t>
      </w:r>
    </w:p>
    <w:p w14:paraId="5B581144"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Roboty malarskie należy wykonywać na podstawie dokumentacji, której wykaz oraz podstawy prawne sporządzenia podano w ST „Wymagania ogólne” Kod CPV 45000000-7, pkt 1.6.</w:t>
      </w:r>
    </w:p>
    <w:p w14:paraId="5C9B4F11"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Dokumentacja powinna w szczególności zawierać:</w:t>
      </w:r>
    </w:p>
    <w:p w14:paraId="4D35388F" w14:textId="0CB1922B" w:rsidR="006E2DFB" w:rsidRPr="00862FE5" w:rsidRDefault="00AA110B" w:rsidP="004F7B3F">
      <w:pPr>
        <w:spacing w:after="0"/>
        <w:ind w:left="-5" w:right="191"/>
        <w:rPr>
          <w:rFonts w:ascii="Lato" w:hAnsi="Lato" w:cs="Arial"/>
          <w:color w:val="auto"/>
          <w:sz w:val="20"/>
          <w:szCs w:val="20"/>
        </w:rPr>
      </w:pPr>
      <w:r w:rsidRPr="00862FE5">
        <w:rPr>
          <w:rFonts w:ascii="Lato" w:hAnsi="Lato" w:cs="Arial"/>
          <w:color w:val="auto"/>
          <w:sz w:val="20"/>
          <w:szCs w:val="20"/>
        </w:rPr>
        <w:lastRenderedPageBreak/>
        <w:t>– rodzaje powłok malarskich oraz ich kolorystykę, wzornictwo i lokalizację powłok malarskich, – warunki użytkowania powłok malarskich.</w:t>
      </w:r>
    </w:p>
    <w:p w14:paraId="3F431CB8" w14:textId="77777777" w:rsidR="004F7B3F" w:rsidRPr="00862FE5" w:rsidRDefault="004F7B3F" w:rsidP="004F7B3F">
      <w:pPr>
        <w:spacing w:after="0"/>
        <w:ind w:left="-5" w:right="191"/>
        <w:rPr>
          <w:rFonts w:ascii="Lato" w:hAnsi="Lato" w:cs="Arial"/>
          <w:color w:val="auto"/>
          <w:sz w:val="20"/>
          <w:szCs w:val="20"/>
        </w:rPr>
      </w:pPr>
    </w:p>
    <w:p w14:paraId="0DC7A9AF" w14:textId="044F132D" w:rsidR="006E2DFB" w:rsidRPr="00862FE5" w:rsidRDefault="00AA110B" w:rsidP="004F7B3F">
      <w:pPr>
        <w:numPr>
          <w:ilvl w:val="0"/>
          <w:numId w:val="3"/>
        </w:numPr>
        <w:spacing w:after="0" w:line="248" w:lineRule="auto"/>
        <w:ind w:right="0" w:hanging="391"/>
        <w:jc w:val="left"/>
        <w:rPr>
          <w:rFonts w:ascii="Lato" w:hAnsi="Lato" w:cs="Arial"/>
          <w:b/>
          <w:bCs/>
          <w:color w:val="auto"/>
          <w:sz w:val="20"/>
          <w:szCs w:val="20"/>
        </w:rPr>
      </w:pPr>
      <w:r w:rsidRPr="00862FE5">
        <w:rPr>
          <w:rFonts w:ascii="Lato" w:hAnsi="Lato" w:cs="Arial"/>
          <w:b/>
          <w:bCs/>
          <w:color w:val="auto"/>
          <w:sz w:val="20"/>
          <w:szCs w:val="20"/>
        </w:rPr>
        <w:t>WYMAGANIA DOTYCZĄCE WŁAŚCIWOŚCI MATERIAŁÓW</w:t>
      </w:r>
    </w:p>
    <w:p w14:paraId="689F69E8" w14:textId="77777777" w:rsidR="004F7B3F" w:rsidRPr="00862FE5" w:rsidRDefault="004F7B3F" w:rsidP="004F7B3F">
      <w:pPr>
        <w:spacing w:after="0" w:line="248" w:lineRule="auto"/>
        <w:ind w:left="391" w:right="0" w:firstLine="0"/>
        <w:jc w:val="left"/>
        <w:rPr>
          <w:rFonts w:ascii="Lato" w:hAnsi="Lato" w:cs="Arial"/>
          <w:b/>
          <w:bCs/>
          <w:color w:val="auto"/>
          <w:sz w:val="20"/>
          <w:szCs w:val="20"/>
        </w:rPr>
      </w:pPr>
    </w:p>
    <w:p w14:paraId="3FC548FC" w14:textId="77777777" w:rsidR="006E2DFB" w:rsidRPr="00862FE5" w:rsidRDefault="00AA110B" w:rsidP="00537BD9">
      <w:pPr>
        <w:pStyle w:val="Akapitzlist"/>
        <w:spacing w:after="0" w:line="248" w:lineRule="auto"/>
        <w:ind w:left="391" w:right="0" w:firstLine="0"/>
        <w:jc w:val="left"/>
        <w:rPr>
          <w:rFonts w:ascii="Lato" w:hAnsi="Lato" w:cs="Arial"/>
          <w:color w:val="auto"/>
          <w:sz w:val="20"/>
          <w:szCs w:val="20"/>
        </w:rPr>
      </w:pPr>
      <w:r w:rsidRPr="00862FE5">
        <w:rPr>
          <w:rFonts w:ascii="Lato" w:hAnsi="Lato" w:cs="Arial"/>
          <w:b/>
          <w:bCs/>
          <w:color w:val="auto"/>
          <w:sz w:val="20"/>
          <w:szCs w:val="20"/>
        </w:rPr>
        <w:t>2.1.</w:t>
      </w:r>
      <w:r w:rsidRPr="00862FE5">
        <w:rPr>
          <w:rFonts w:ascii="Lato" w:hAnsi="Lato" w:cs="Arial"/>
          <w:color w:val="auto"/>
          <w:sz w:val="20"/>
          <w:szCs w:val="20"/>
        </w:rPr>
        <w:t xml:space="preserve"> Ogólne wymagania dotyczące właściwości materiałów, ich pozyskiwania i składowania podano w ST „Wymagania ogólne” Kod CPV 45000000-7, pkt 2</w:t>
      </w:r>
    </w:p>
    <w:p w14:paraId="0E8DBE0C"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Materiały stosowane do wykonywania robót malarskich, będące w myśl Ustawy o wyrobach budowlanych z dnia 16 kwietnia 2004 r. materiałami budowlanymi (Dz. U. Nr 92 poz. 881 z późniejszymi zmianami), wprowadzone do obrotu i stosowane w budownictwie na terytorium RP, powinny mieć:</w:t>
      </w:r>
    </w:p>
    <w:p w14:paraId="6EC0854F" w14:textId="77777777" w:rsidR="006E2DFB" w:rsidRPr="00862FE5" w:rsidRDefault="00AA110B" w:rsidP="004F7B3F">
      <w:pPr>
        <w:numPr>
          <w:ilvl w:val="0"/>
          <w:numId w:val="4"/>
        </w:numPr>
        <w:spacing w:after="0"/>
        <w:ind w:right="0" w:hanging="286"/>
        <w:rPr>
          <w:rFonts w:ascii="Lato" w:hAnsi="Lato" w:cs="Arial"/>
          <w:color w:val="auto"/>
          <w:sz w:val="20"/>
          <w:szCs w:val="20"/>
        </w:rPr>
      </w:pPr>
      <w:r w:rsidRPr="00862FE5">
        <w:rPr>
          <w:rFonts w:ascii="Lato" w:hAnsi="Lato" w:cs="Arial"/>
          <w:color w:val="auto"/>
          <w:sz w:val="20"/>
          <w:szCs w:val="20"/>
        </w:rPr>
        <w:t>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albo</w:t>
      </w:r>
    </w:p>
    <w:p w14:paraId="6AC71551" w14:textId="77777777" w:rsidR="006E2DFB" w:rsidRPr="00862FE5" w:rsidRDefault="00AA110B" w:rsidP="004F7B3F">
      <w:pPr>
        <w:numPr>
          <w:ilvl w:val="0"/>
          <w:numId w:val="4"/>
        </w:numPr>
        <w:spacing w:after="0"/>
        <w:ind w:right="0" w:hanging="286"/>
        <w:rPr>
          <w:rFonts w:ascii="Lato" w:hAnsi="Lato" w:cs="Arial"/>
          <w:color w:val="auto"/>
          <w:sz w:val="20"/>
          <w:szCs w:val="20"/>
        </w:rPr>
      </w:pPr>
      <w:r w:rsidRPr="00862FE5">
        <w:rPr>
          <w:rFonts w:ascii="Lato" w:hAnsi="Lato" w:cs="Arial"/>
          <w:color w:val="auto"/>
          <w:sz w:val="20"/>
          <w:szCs w:val="20"/>
        </w:rPr>
        <w:t>oznakowanie znakiem budowlanym, co oznacza że są to wyroby nie podlegające obowiązkowemu oznakowaniu CE, dla których dokonano oceny zgodności z Polską Normą lub aprobatą techniczną, bądź uznano za „regionalny wyrób budowlany”, albo</w:t>
      </w:r>
    </w:p>
    <w:p w14:paraId="7289BABC" w14:textId="77777777" w:rsidR="006E2DFB" w:rsidRPr="00862FE5" w:rsidRDefault="00AA110B" w:rsidP="004F7B3F">
      <w:pPr>
        <w:numPr>
          <w:ilvl w:val="0"/>
          <w:numId w:val="4"/>
        </w:numPr>
        <w:spacing w:after="0"/>
        <w:ind w:right="0" w:hanging="286"/>
        <w:rPr>
          <w:rFonts w:ascii="Lato" w:hAnsi="Lato" w:cs="Arial"/>
          <w:color w:val="auto"/>
          <w:sz w:val="20"/>
          <w:szCs w:val="20"/>
        </w:rPr>
      </w:pPr>
      <w:r w:rsidRPr="00862FE5">
        <w:rPr>
          <w:rFonts w:ascii="Lato" w:hAnsi="Lato" w:cs="Arial"/>
          <w:color w:val="auto"/>
          <w:sz w:val="20"/>
          <w:szCs w:val="20"/>
        </w:rPr>
        <w:t>deklarację zgodności z uznanymi regułami sztuki budowlanej wydaną przez producenta, jeżeli dotyczy ona wyrobu umieszczonego w wykazie wyrobów mających niewielkie znaczenie dla zdrowia i bezpieczeństwa określonym przez Komisję Europejską.</w:t>
      </w:r>
    </w:p>
    <w:p w14:paraId="28CDB74F" w14:textId="4A837ACD"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Oznakowanie powinno umożliwiać identyfikację producenta i typu wyrobu, kraju pochodzenia oraz daty produkcji (okresu przydatności do użytkowania).</w:t>
      </w:r>
    </w:p>
    <w:p w14:paraId="310AF8EB" w14:textId="77777777" w:rsidR="00537BD9" w:rsidRPr="00862FE5" w:rsidRDefault="00537BD9" w:rsidP="004F7B3F">
      <w:pPr>
        <w:spacing w:after="0"/>
        <w:ind w:left="-5" w:right="0"/>
        <w:rPr>
          <w:rFonts w:ascii="Lato" w:hAnsi="Lato" w:cs="Arial"/>
          <w:b/>
          <w:bCs/>
          <w:color w:val="auto"/>
          <w:sz w:val="20"/>
          <w:szCs w:val="20"/>
        </w:rPr>
      </w:pPr>
    </w:p>
    <w:p w14:paraId="76FE12A9" w14:textId="0CFC1F2C" w:rsidR="006E2DFB" w:rsidRPr="00862FE5" w:rsidRDefault="00537BD9" w:rsidP="00537BD9">
      <w:pPr>
        <w:tabs>
          <w:tab w:val="center" w:pos="709"/>
        </w:tabs>
        <w:spacing w:after="0" w:line="248" w:lineRule="auto"/>
        <w:ind w:left="-15" w:right="0" w:firstLine="0"/>
        <w:jc w:val="left"/>
        <w:rPr>
          <w:rFonts w:ascii="Lato" w:hAnsi="Lato" w:cs="Arial"/>
          <w:b/>
          <w:bCs/>
          <w:color w:val="auto"/>
          <w:sz w:val="20"/>
          <w:szCs w:val="20"/>
        </w:rPr>
      </w:pPr>
      <w:r w:rsidRPr="00862FE5">
        <w:rPr>
          <w:rFonts w:ascii="Lato" w:hAnsi="Lato" w:cs="Arial"/>
          <w:b/>
          <w:bCs/>
          <w:color w:val="auto"/>
          <w:sz w:val="20"/>
          <w:szCs w:val="20"/>
        </w:rPr>
        <w:tab/>
      </w:r>
      <w:r w:rsidR="00AA110B" w:rsidRPr="00862FE5">
        <w:rPr>
          <w:rFonts w:ascii="Lato" w:hAnsi="Lato" w:cs="Arial"/>
          <w:b/>
          <w:bCs/>
          <w:color w:val="auto"/>
          <w:sz w:val="20"/>
          <w:szCs w:val="20"/>
        </w:rPr>
        <w:t>2.2.</w:t>
      </w:r>
      <w:r w:rsidR="00AA110B" w:rsidRPr="00862FE5">
        <w:rPr>
          <w:rFonts w:ascii="Lato" w:hAnsi="Lato" w:cs="Arial"/>
          <w:b/>
          <w:bCs/>
          <w:color w:val="auto"/>
          <w:sz w:val="20"/>
          <w:szCs w:val="20"/>
        </w:rPr>
        <w:tab/>
        <w:t>Rodzaje materiałów</w:t>
      </w:r>
    </w:p>
    <w:p w14:paraId="0C1EC9BF"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Wszystkie materiały do wykonania robót malarskich powinny odpowiadać wymaganiom zawartym w dokumentach odniesienia (normach, aprobatach technicznych, kartach technicznych itp.).</w:t>
      </w:r>
    </w:p>
    <w:p w14:paraId="142E4AAE" w14:textId="77777777" w:rsidR="006E2DFB" w:rsidRDefault="00AA110B" w:rsidP="004F7B3F">
      <w:pPr>
        <w:spacing w:after="0"/>
        <w:ind w:left="-5" w:right="2737"/>
        <w:rPr>
          <w:rFonts w:ascii="Lato" w:hAnsi="Lato" w:cs="Arial"/>
          <w:color w:val="auto"/>
          <w:sz w:val="20"/>
          <w:szCs w:val="20"/>
        </w:rPr>
      </w:pPr>
      <w:r w:rsidRPr="00862FE5">
        <w:rPr>
          <w:rFonts w:ascii="Lato" w:hAnsi="Lato" w:cs="Arial"/>
          <w:color w:val="auto"/>
          <w:sz w:val="20"/>
          <w:szCs w:val="20"/>
        </w:rPr>
        <w:t>2.2.1. Materiały do malowania wnętrz obiektów budowlanych Do malowania powierzchni wewnątrz obiektów można stosować:</w:t>
      </w:r>
    </w:p>
    <w:p w14:paraId="6958295F" w14:textId="77777777" w:rsidR="00BA6FBA" w:rsidRPr="00862FE5" w:rsidRDefault="00BA6FBA" w:rsidP="004F7B3F">
      <w:pPr>
        <w:spacing w:after="0"/>
        <w:ind w:left="-5" w:right="2737"/>
        <w:rPr>
          <w:rFonts w:ascii="Lato" w:hAnsi="Lato" w:cs="Arial"/>
          <w:color w:val="auto"/>
          <w:sz w:val="20"/>
          <w:szCs w:val="20"/>
        </w:rPr>
      </w:pPr>
    </w:p>
    <w:p w14:paraId="4EF3A1B8" w14:textId="7396F8C3" w:rsidR="006E2DFB" w:rsidRPr="00862FE5" w:rsidRDefault="00AA110B" w:rsidP="004F7B3F">
      <w:pPr>
        <w:tabs>
          <w:tab w:val="center" w:pos="4166"/>
        </w:tabs>
        <w:spacing w:after="0"/>
        <w:ind w:left="-15" w:right="0" w:firstLine="0"/>
        <w:jc w:val="left"/>
        <w:rPr>
          <w:rFonts w:ascii="Lato" w:hAnsi="Lato" w:cs="Arial"/>
          <w:color w:val="auto"/>
          <w:sz w:val="20"/>
          <w:szCs w:val="20"/>
        </w:rPr>
      </w:pPr>
      <w:r w:rsidRPr="00862FE5">
        <w:rPr>
          <w:rFonts w:ascii="Lato" w:hAnsi="Lato" w:cs="Arial"/>
          <w:color w:val="auto"/>
          <w:sz w:val="20"/>
          <w:szCs w:val="20"/>
        </w:rPr>
        <w:t>•</w:t>
      </w:r>
      <w:r w:rsidR="00FA7DE9">
        <w:rPr>
          <w:rFonts w:ascii="Lato" w:hAnsi="Lato" w:cs="Arial"/>
          <w:color w:val="auto"/>
          <w:sz w:val="20"/>
          <w:szCs w:val="20"/>
        </w:rPr>
        <w:t xml:space="preserve">            </w:t>
      </w:r>
      <w:r w:rsidRPr="00862FE5">
        <w:rPr>
          <w:rFonts w:ascii="Lato" w:hAnsi="Lato" w:cs="Arial"/>
          <w:color w:val="auto"/>
          <w:sz w:val="20"/>
          <w:szCs w:val="20"/>
        </w:rPr>
        <w:t>farby dyspersyjne odpowiadające wymaganiom normy PN-C-81914:2002,</w:t>
      </w:r>
    </w:p>
    <w:p w14:paraId="738FE5A2" w14:textId="4AD90FE1" w:rsidR="006E2DFB" w:rsidRPr="00862FE5" w:rsidRDefault="00AA6181" w:rsidP="004F7B3F">
      <w:pPr>
        <w:tabs>
          <w:tab w:val="center" w:pos="2816"/>
        </w:tabs>
        <w:spacing w:after="0"/>
        <w:ind w:left="-15" w:right="0" w:firstLine="0"/>
        <w:jc w:val="left"/>
        <w:rPr>
          <w:rFonts w:ascii="Lato" w:hAnsi="Lato" w:cs="Arial"/>
          <w:color w:val="auto"/>
          <w:sz w:val="20"/>
          <w:szCs w:val="20"/>
        </w:rPr>
      </w:pPr>
      <w:r>
        <w:rPr>
          <w:rFonts w:ascii="Lato" w:hAnsi="Lato" w:cs="Arial"/>
          <w:color w:val="auto"/>
          <w:sz w:val="20"/>
          <w:szCs w:val="20"/>
        </w:rPr>
        <w:t xml:space="preserve">               </w:t>
      </w:r>
      <w:r w:rsidR="00AA110B" w:rsidRPr="00862FE5">
        <w:rPr>
          <w:rFonts w:ascii="Lato" w:hAnsi="Lato" w:cs="Arial"/>
          <w:color w:val="auto"/>
          <w:sz w:val="20"/>
          <w:szCs w:val="20"/>
        </w:rPr>
        <w:t>farby lateksowe - zawierają emulsje żywiczne,</w:t>
      </w:r>
    </w:p>
    <w:p w14:paraId="7269773A" w14:textId="0DD5EE11" w:rsidR="006E2DFB" w:rsidRDefault="00AA110B" w:rsidP="004F7B3F">
      <w:pPr>
        <w:numPr>
          <w:ilvl w:val="0"/>
          <w:numId w:val="5"/>
        </w:numPr>
        <w:spacing w:after="0"/>
        <w:ind w:right="0" w:hanging="571"/>
        <w:rPr>
          <w:rFonts w:ascii="Lato" w:hAnsi="Lato" w:cs="Arial"/>
          <w:color w:val="auto"/>
          <w:sz w:val="20"/>
          <w:szCs w:val="20"/>
        </w:rPr>
      </w:pPr>
      <w:r w:rsidRPr="00862FE5">
        <w:rPr>
          <w:rFonts w:ascii="Lato" w:hAnsi="Lato" w:cs="Arial"/>
          <w:color w:val="auto"/>
          <w:sz w:val="20"/>
          <w:szCs w:val="20"/>
        </w:rPr>
        <w:t>środki gruntujące, które powinny odpowiadać wymaganiom aprobat technicznych</w:t>
      </w:r>
    </w:p>
    <w:p w14:paraId="133613A7" w14:textId="77777777" w:rsidR="00BA6FBA" w:rsidRPr="00862FE5" w:rsidRDefault="00BA6FBA" w:rsidP="00BA6FBA">
      <w:pPr>
        <w:spacing w:after="0"/>
        <w:ind w:left="571" w:right="0" w:firstLine="0"/>
        <w:rPr>
          <w:rFonts w:ascii="Lato" w:hAnsi="Lato" w:cs="Arial"/>
          <w:color w:val="auto"/>
          <w:sz w:val="20"/>
          <w:szCs w:val="20"/>
        </w:rPr>
      </w:pPr>
    </w:p>
    <w:p w14:paraId="530FE42E" w14:textId="77777777" w:rsidR="006E2DFB" w:rsidRDefault="00AA110B" w:rsidP="004F7B3F">
      <w:pPr>
        <w:spacing w:after="0" w:line="248" w:lineRule="auto"/>
        <w:ind w:left="-5" w:right="651"/>
        <w:jc w:val="left"/>
        <w:rPr>
          <w:rFonts w:ascii="Lato" w:hAnsi="Lato" w:cs="Arial"/>
          <w:color w:val="auto"/>
          <w:sz w:val="20"/>
          <w:szCs w:val="20"/>
        </w:rPr>
      </w:pPr>
      <w:r w:rsidRPr="00862FE5">
        <w:rPr>
          <w:rFonts w:ascii="Lato" w:hAnsi="Lato" w:cs="Arial"/>
          <w:color w:val="auto"/>
          <w:sz w:val="20"/>
          <w:szCs w:val="20"/>
        </w:rPr>
        <w:t>2.2.2. Materiały do malowania zewnętrznych powierzchni obiektów budowlanych Do malowania powierzchni zewnętrznych obiektów można stosować:</w:t>
      </w:r>
    </w:p>
    <w:p w14:paraId="5F6FDDCF" w14:textId="77777777" w:rsidR="00BA6FBA" w:rsidRPr="00862FE5" w:rsidRDefault="00BA6FBA" w:rsidP="004F7B3F">
      <w:pPr>
        <w:spacing w:after="0" w:line="248" w:lineRule="auto"/>
        <w:ind w:left="-5" w:right="651"/>
        <w:jc w:val="left"/>
        <w:rPr>
          <w:rFonts w:ascii="Lato" w:hAnsi="Lato" w:cs="Arial"/>
          <w:color w:val="auto"/>
          <w:sz w:val="20"/>
          <w:szCs w:val="20"/>
        </w:rPr>
      </w:pPr>
    </w:p>
    <w:p w14:paraId="23B19925" w14:textId="77777777" w:rsidR="006E2DFB" w:rsidRPr="00862FE5" w:rsidRDefault="00AA110B" w:rsidP="004F7B3F">
      <w:pPr>
        <w:numPr>
          <w:ilvl w:val="0"/>
          <w:numId w:val="5"/>
        </w:numPr>
        <w:spacing w:after="0"/>
        <w:ind w:right="0" w:hanging="571"/>
        <w:rPr>
          <w:rFonts w:ascii="Lato" w:hAnsi="Lato" w:cs="Arial"/>
          <w:color w:val="auto"/>
          <w:sz w:val="20"/>
          <w:szCs w:val="20"/>
        </w:rPr>
      </w:pPr>
      <w:r w:rsidRPr="00862FE5">
        <w:rPr>
          <w:rFonts w:ascii="Lato" w:hAnsi="Lato" w:cs="Arial"/>
          <w:color w:val="auto"/>
          <w:sz w:val="20"/>
          <w:szCs w:val="20"/>
        </w:rPr>
        <w:t>farby dyspersyjne odpowiadające wymaganiom normy PN-C-81913:1998,</w:t>
      </w:r>
    </w:p>
    <w:p w14:paraId="6F4CF183" w14:textId="77777777" w:rsidR="006E2DFB" w:rsidRPr="00862FE5" w:rsidRDefault="00AA110B" w:rsidP="004F7B3F">
      <w:pPr>
        <w:numPr>
          <w:ilvl w:val="0"/>
          <w:numId w:val="5"/>
        </w:numPr>
        <w:spacing w:after="0"/>
        <w:ind w:right="0" w:hanging="571"/>
        <w:rPr>
          <w:rFonts w:ascii="Lato" w:hAnsi="Lato" w:cs="Arial"/>
          <w:color w:val="auto"/>
          <w:sz w:val="20"/>
          <w:szCs w:val="20"/>
        </w:rPr>
      </w:pPr>
      <w:r w:rsidRPr="00862FE5">
        <w:rPr>
          <w:rFonts w:ascii="Lato" w:hAnsi="Lato" w:cs="Arial"/>
          <w:color w:val="auto"/>
          <w:sz w:val="20"/>
          <w:szCs w:val="20"/>
        </w:rPr>
        <w:t>farby olejne i alkidowe odpowiadające wymaganiom normy PN-C-81901:2002,</w:t>
      </w:r>
    </w:p>
    <w:p w14:paraId="75DA1CF5" w14:textId="77777777" w:rsidR="006E2DFB" w:rsidRPr="00862FE5" w:rsidRDefault="00AA110B" w:rsidP="004F7B3F">
      <w:pPr>
        <w:numPr>
          <w:ilvl w:val="0"/>
          <w:numId w:val="5"/>
        </w:numPr>
        <w:spacing w:after="0"/>
        <w:ind w:right="0" w:hanging="571"/>
        <w:rPr>
          <w:rFonts w:ascii="Lato" w:hAnsi="Lato" w:cs="Arial"/>
          <w:color w:val="auto"/>
          <w:sz w:val="20"/>
          <w:szCs w:val="20"/>
        </w:rPr>
      </w:pPr>
      <w:r w:rsidRPr="00862FE5">
        <w:rPr>
          <w:rFonts w:ascii="Lato" w:hAnsi="Lato" w:cs="Arial"/>
          <w:color w:val="auto"/>
          <w:sz w:val="20"/>
          <w:szCs w:val="20"/>
        </w:rPr>
        <w:t>emalie olejno-żywiczne, ftalowe, ftalowe modyfikowane i ftalowe kopolimeryzowane styrenowe odpowiadające wymaganiom normy PN-C-81607:1998,</w:t>
      </w:r>
    </w:p>
    <w:p w14:paraId="4B95D246" w14:textId="77777777" w:rsidR="006E2DFB" w:rsidRPr="00862FE5" w:rsidRDefault="00AA110B" w:rsidP="004F7B3F">
      <w:pPr>
        <w:numPr>
          <w:ilvl w:val="0"/>
          <w:numId w:val="5"/>
        </w:numPr>
        <w:spacing w:after="0"/>
        <w:ind w:right="0" w:hanging="571"/>
        <w:rPr>
          <w:rFonts w:ascii="Lato" w:hAnsi="Lato" w:cs="Arial"/>
          <w:color w:val="auto"/>
          <w:sz w:val="20"/>
          <w:szCs w:val="20"/>
        </w:rPr>
      </w:pPr>
      <w:r w:rsidRPr="00862FE5">
        <w:rPr>
          <w:rFonts w:ascii="Lato" w:hAnsi="Lato" w:cs="Arial"/>
          <w:color w:val="auto"/>
          <w:sz w:val="20"/>
          <w:szCs w:val="20"/>
        </w:rPr>
        <w:t>farby na spoiwach:</w:t>
      </w:r>
    </w:p>
    <w:p w14:paraId="4DB0973A" w14:textId="77777777" w:rsidR="006E2DFB" w:rsidRPr="00862FE5" w:rsidRDefault="00AA110B" w:rsidP="004F7B3F">
      <w:pPr>
        <w:numPr>
          <w:ilvl w:val="1"/>
          <w:numId w:val="5"/>
        </w:numPr>
        <w:spacing w:after="0"/>
        <w:ind w:right="0" w:hanging="571"/>
        <w:rPr>
          <w:rFonts w:ascii="Lato" w:hAnsi="Lato" w:cs="Arial"/>
          <w:color w:val="auto"/>
          <w:sz w:val="20"/>
          <w:szCs w:val="20"/>
        </w:rPr>
      </w:pPr>
      <w:r w:rsidRPr="00862FE5">
        <w:rPr>
          <w:rFonts w:ascii="Lato" w:hAnsi="Lato" w:cs="Arial"/>
          <w:color w:val="auto"/>
          <w:sz w:val="20"/>
          <w:szCs w:val="20"/>
        </w:rPr>
        <w:t>rozpuszczalnikowych żywicznych innych niż olejne i ftalowe,</w:t>
      </w:r>
    </w:p>
    <w:p w14:paraId="0AA67712" w14:textId="77777777" w:rsidR="006E2DFB" w:rsidRPr="00862FE5" w:rsidRDefault="00AA110B" w:rsidP="004F7B3F">
      <w:pPr>
        <w:numPr>
          <w:ilvl w:val="1"/>
          <w:numId w:val="5"/>
        </w:numPr>
        <w:spacing w:after="0" w:line="259" w:lineRule="auto"/>
        <w:ind w:right="0" w:hanging="571"/>
        <w:rPr>
          <w:rFonts w:ascii="Lato" w:hAnsi="Lato" w:cs="Arial"/>
          <w:color w:val="auto"/>
          <w:sz w:val="20"/>
          <w:szCs w:val="20"/>
        </w:rPr>
      </w:pPr>
      <w:r w:rsidRPr="00862FE5">
        <w:rPr>
          <w:rFonts w:ascii="Lato" w:hAnsi="Lato" w:cs="Arial"/>
          <w:color w:val="auto"/>
          <w:sz w:val="20"/>
          <w:szCs w:val="20"/>
        </w:rPr>
        <w:t>mineralnych z dodatkami modyfikującymi w postaci suchych mieszanek do</w:t>
      </w:r>
    </w:p>
    <w:p w14:paraId="2F32AFB4" w14:textId="77777777" w:rsidR="006E2DFB" w:rsidRPr="00862FE5" w:rsidRDefault="00AA110B" w:rsidP="004F7B3F">
      <w:pPr>
        <w:spacing w:after="0"/>
        <w:ind w:left="1181" w:right="0"/>
        <w:rPr>
          <w:rFonts w:ascii="Lato" w:hAnsi="Lato" w:cs="Arial"/>
          <w:color w:val="auto"/>
          <w:sz w:val="20"/>
          <w:szCs w:val="20"/>
        </w:rPr>
      </w:pPr>
      <w:r w:rsidRPr="00862FE5">
        <w:rPr>
          <w:rFonts w:ascii="Lato" w:hAnsi="Lato" w:cs="Arial"/>
          <w:color w:val="auto"/>
          <w:sz w:val="20"/>
          <w:szCs w:val="20"/>
        </w:rPr>
        <w:t>zarobienia wodą,</w:t>
      </w:r>
    </w:p>
    <w:p w14:paraId="468B4EC7" w14:textId="77777777" w:rsidR="006E2DFB" w:rsidRPr="00862FE5" w:rsidRDefault="00AA110B" w:rsidP="004F7B3F">
      <w:pPr>
        <w:numPr>
          <w:ilvl w:val="1"/>
          <w:numId w:val="5"/>
        </w:numPr>
        <w:spacing w:after="0"/>
        <w:ind w:right="0" w:hanging="571"/>
        <w:rPr>
          <w:rFonts w:ascii="Lato" w:hAnsi="Lato" w:cs="Arial"/>
          <w:color w:val="auto"/>
          <w:sz w:val="20"/>
          <w:szCs w:val="20"/>
        </w:rPr>
      </w:pPr>
      <w:r w:rsidRPr="00862FE5">
        <w:rPr>
          <w:rFonts w:ascii="Lato" w:hAnsi="Lato" w:cs="Arial"/>
          <w:color w:val="auto"/>
          <w:sz w:val="20"/>
          <w:szCs w:val="20"/>
        </w:rPr>
        <w:t>mineralno-organicznych jedno- lub kilkuskładnikowe do rozcieńczania wodą, które powinny odpowiadać wymaganiom normy PN-B-10102:1991,</w:t>
      </w:r>
    </w:p>
    <w:p w14:paraId="6959FF95" w14:textId="77777777" w:rsidR="006E2DFB" w:rsidRPr="00862FE5" w:rsidRDefault="00AA110B" w:rsidP="004F7B3F">
      <w:pPr>
        <w:numPr>
          <w:ilvl w:val="0"/>
          <w:numId w:val="5"/>
        </w:numPr>
        <w:spacing w:after="0"/>
        <w:ind w:right="0" w:hanging="571"/>
        <w:rPr>
          <w:rFonts w:ascii="Lato" w:hAnsi="Lato" w:cs="Arial"/>
          <w:color w:val="auto"/>
          <w:sz w:val="20"/>
          <w:szCs w:val="20"/>
        </w:rPr>
      </w:pPr>
      <w:r w:rsidRPr="00862FE5">
        <w:rPr>
          <w:rFonts w:ascii="Lato" w:hAnsi="Lato" w:cs="Arial"/>
          <w:color w:val="auto"/>
          <w:sz w:val="20"/>
          <w:szCs w:val="20"/>
        </w:rPr>
        <w:t>farby i emalie na spoiwie żywicznym rozcieńczalne wodą, które powinny odpowiadać wymaganiom aprobat technicznych,</w:t>
      </w:r>
    </w:p>
    <w:p w14:paraId="3CAEE86C" w14:textId="77777777" w:rsidR="006E2DFB" w:rsidRPr="00862FE5" w:rsidRDefault="00AA110B" w:rsidP="004F7B3F">
      <w:pPr>
        <w:numPr>
          <w:ilvl w:val="0"/>
          <w:numId w:val="5"/>
        </w:numPr>
        <w:spacing w:after="0"/>
        <w:ind w:right="0" w:hanging="571"/>
        <w:rPr>
          <w:rFonts w:ascii="Lato" w:hAnsi="Lato" w:cs="Arial"/>
          <w:color w:val="auto"/>
          <w:sz w:val="20"/>
          <w:szCs w:val="20"/>
        </w:rPr>
      </w:pPr>
      <w:r w:rsidRPr="00862FE5">
        <w:rPr>
          <w:rFonts w:ascii="Lato" w:hAnsi="Lato" w:cs="Arial"/>
          <w:color w:val="auto"/>
          <w:sz w:val="20"/>
          <w:szCs w:val="20"/>
        </w:rPr>
        <w:t>farby na spoiwach mineralnych z dodatkami modyfikującymi w postaci ciekłej, które powinny odpowiadać wymaganiom aprobat technicznych,</w:t>
      </w:r>
    </w:p>
    <w:p w14:paraId="1D17434A" w14:textId="66494364" w:rsidR="006E2DFB" w:rsidRDefault="00AA110B" w:rsidP="004F7B3F">
      <w:pPr>
        <w:numPr>
          <w:ilvl w:val="0"/>
          <w:numId w:val="5"/>
        </w:numPr>
        <w:spacing w:after="0"/>
        <w:ind w:right="0" w:hanging="571"/>
        <w:rPr>
          <w:rFonts w:ascii="Lato" w:hAnsi="Lato" w:cs="Arial"/>
          <w:color w:val="auto"/>
          <w:sz w:val="20"/>
          <w:szCs w:val="20"/>
        </w:rPr>
      </w:pPr>
      <w:r w:rsidRPr="00862FE5">
        <w:rPr>
          <w:rFonts w:ascii="Lato" w:hAnsi="Lato" w:cs="Arial"/>
          <w:color w:val="auto"/>
          <w:sz w:val="20"/>
          <w:szCs w:val="20"/>
        </w:rPr>
        <w:t>środki gruntujące, które powinny odpowiadać wymaganiom aprobat technicznych</w:t>
      </w:r>
    </w:p>
    <w:p w14:paraId="001F3001" w14:textId="77777777" w:rsidR="00FC38AE" w:rsidRPr="00862FE5" w:rsidRDefault="00FC38AE" w:rsidP="00FC38AE">
      <w:pPr>
        <w:spacing w:after="0"/>
        <w:ind w:left="571" w:right="0" w:firstLine="0"/>
        <w:rPr>
          <w:rFonts w:ascii="Lato" w:hAnsi="Lato" w:cs="Arial"/>
          <w:color w:val="auto"/>
          <w:sz w:val="20"/>
          <w:szCs w:val="20"/>
        </w:rPr>
      </w:pPr>
    </w:p>
    <w:p w14:paraId="207D2F5F"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2.2.3. Materiały pomocnicze</w:t>
      </w:r>
    </w:p>
    <w:p w14:paraId="7D8F1FE8"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Materiały pomocnicze do wykonywania robót malarskich to:</w:t>
      </w:r>
    </w:p>
    <w:p w14:paraId="76C803A9" w14:textId="25B8EC79" w:rsidR="006E2DFB" w:rsidRPr="00862FE5" w:rsidRDefault="00AA110B" w:rsidP="004F7B3F">
      <w:pPr>
        <w:numPr>
          <w:ilvl w:val="0"/>
          <w:numId w:val="6"/>
        </w:numPr>
        <w:spacing w:after="0"/>
        <w:ind w:right="0" w:hanging="286"/>
        <w:rPr>
          <w:rFonts w:ascii="Lato" w:hAnsi="Lato" w:cs="Arial"/>
          <w:color w:val="auto"/>
          <w:sz w:val="20"/>
          <w:szCs w:val="20"/>
        </w:rPr>
      </w:pPr>
      <w:r w:rsidRPr="00862FE5">
        <w:rPr>
          <w:rFonts w:ascii="Lato" w:hAnsi="Lato" w:cs="Arial"/>
          <w:color w:val="auto"/>
          <w:sz w:val="20"/>
          <w:szCs w:val="20"/>
        </w:rPr>
        <w:t>rozcieńczalniki, w tym: woda, terpentyna, benzyna do lakierów i emalii, spirytus</w:t>
      </w:r>
      <w:r w:rsidR="00BC0788" w:rsidRPr="00862FE5">
        <w:rPr>
          <w:rFonts w:ascii="Lato" w:hAnsi="Lato" w:cs="Arial"/>
          <w:color w:val="auto"/>
          <w:sz w:val="20"/>
          <w:szCs w:val="20"/>
        </w:rPr>
        <w:t xml:space="preserve"> </w:t>
      </w:r>
      <w:r w:rsidRPr="00862FE5">
        <w:rPr>
          <w:rFonts w:ascii="Lato" w:hAnsi="Lato" w:cs="Arial"/>
          <w:color w:val="auto"/>
          <w:sz w:val="20"/>
          <w:szCs w:val="20"/>
        </w:rPr>
        <w:t>denaturowany, inne rozcieńczalniki przygotowane fabrycznie,</w:t>
      </w:r>
    </w:p>
    <w:p w14:paraId="72415850" w14:textId="77777777" w:rsidR="006E2DFB" w:rsidRPr="00862FE5" w:rsidRDefault="00AA110B" w:rsidP="004F7B3F">
      <w:pPr>
        <w:numPr>
          <w:ilvl w:val="0"/>
          <w:numId w:val="6"/>
        </w:numPr>
        <w:spacing w:after="0"/>
        <w:ind w:right="0" w:hanging="286"/>
        <w:rPr>
          <w:rFonts w:ascii="Lato" w:hAnsi="Lato" w:cs="Arial"/>
          <w:color w:val="auto"/>
          <w:sz w:val="20"/>
          <w:szCs w:val="20"/>
        </w:rPr>
      </w:pPr>
      <w:r w:rsidRPr="00862FE5">
        <w:rPr>
          <w:rFonts w:ascii="Lato" w:hAnsi="Lato" w:cs="Arial"/>
          <w:color w:val="auto"/>
          <w:sz w:val="20"/>
          <w:szCs w:val="20"/>
        </w:rPr>
        <w:t>środki do odtłuszczania, mycia i usuwania zanieczyszczeń podłoża,– środki do likwidacji zacieków i wykwitów,</w:t>
      </w:r>
    </w:p>
    <w:p w14:paraId="4FE5E0E2" w14:textId="77777777" w:rsidR="006E2DFB" w:rsidRPr="00862FE5" w:rsidRDefault="00AA110B" w:rsidP="004F7B3F">
      <w:pPr>
        <w:numPr>
          <w:ilvl w:val="0"/>
          <w:numId w:val="6"/>
        </w:numPr>
        <w:spacing w:after="0"/>
        <w:ind w:right="0" w:hanging="286"/>
        <w:rPr>
          <w:rFonts w:ascii="Lato" w:hAnsi="Lato" w:cs="Arial"/>
          <w:color w:val="auto"/>
          <w:sz w:val="20"/>
          <w:szCs w:val="20"/>
        </w:rPr>
      </w:pPr>
      <w:r w:rsidRPr="00862FE5">
        <w:rPr>
          <w:rFonts w:ascii="Lato" w:hAnsi="Lato" w:cs="Arial"/>
          <w:color w:val="auto"/>
          <w:sz w:val="20"/>
          <w:szCs w:val="20"/>
        </w:rPr>
        <w:t>kity i masy szpachlowe do naprawy podłoża.</w:t>
      </w:r>
    </w:p>
    <w:p w14:paraId="40F126A0"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Wszystkie ww. materiały muszą mieć właściwości techniczne określone przez producenta wyrobów malarskich i odpowiadające wymaganiom odpowiednich dokumentów odniesienia (PN bądź aprobat technicznych).</w:t>
      </w:r>
    </w:p>
    <w:p w14:paraId="7E63B0DF"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lastRenderedPageBreak/>
        <w:t>2.2.4. Woda</w:t>
      </w:r>
    </w:p>
    <w:p w14:paraId="518558AA"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Do przygotowania farb zarabianych wodą należy stosować wodę odpowiadającą wymaganiom normy PN-EN 1008:2004 „Woda zarobowa do betonu – Specyfikacja pobierania próbek, badanie i ocena przydatności wody zarobowej do betonu, w tym wody odzyskanej z procesów produkcji betonu”.</w:t>
      </w:r>
    </w:p>
    <w:p w14:paraId="03A76321"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Bez badań laboratoryjnych może być stosowana tylko wodociągowa woda pitna.</w:t>
      </w:r>
    </w:p>
    <w:p w14:paraId="479295A5"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Niedozwolone jest użycie wód ściekowych, kanalizacyjnych, bagiennych oraz wód zawierających tłuszcze organiczne, oleje i muł.</w:t>
      </w:r>
    </w:p>
    <w:p w14:paraId="5D83BEAB" w14:textId="28F28595" w:rsidR="006E2DFB" w:rsidRPr="00862FE5" w:rsidRDefault="00AA110B" w:rsidP="00537BD9">
      <w:pPr>
        <w:spacing w:after="0" w:line="248" w:lineRule="auto"/>
        <w:ind w:right="0"/>
        <w:jc w:val="left"/>
        <w:rPr>
          <w:rFonts w:ascii="Lato" w:hAnsi="Lato" w:cs="Arial"/>
          <w:color w:val="auto"/>
          <w:sz w:val="20"/>
          <w:szCs w:val="20"/>
        </w:rPr>
      </w:pPr>
      <w:r w:rsidRPr="00862FE5">
        <w:rPr>
          <w:rFonts w:ascii="Lato" w:hAnsi="Lato" w:cs="Arial"/>
          <w:color w:val="auto"/>
          <w:sz w:val="20"/>
          <w:szCs w:val="20"/>
        </w:rPr>
        <w:t>2.2.5. Wykładziny ścienne - wg dokumentacji technicznej.</w:t>
      </w:r>
    </w:p>
    <w:p w14:paraId="7AFB662A" w14:textId="77777777" w:rsidR="00537BD9" w:rsidRPr="00862FE5" w:rsidRDefault="00537BD9" w:rsidP="00537BD9">
      <w:pPr>
        <w:spacing w:after="0" w:line="248" w:lineRule="auto"/>
        <w:ind w:right="0"/>
        <w:jc w:val="left"/>
        <w:rPr>
          <w:rFonts w:ascii="Lato" w:hAnsi="Lato" w:cs="Arial"/>
          <w:color w:val="auto"/>
          <w:sz w:val="20"/>
          <w:szCs w:val="20"/>
        </w:rPr>
      </w:pPr>
    </w:p>
    <w:p w14:paraId="22369D42" w14:textId="77777777" w:rsidR="006E2DFB" w:rsidRPr="00862FE5" w:rsidRDefault="00AA110B" w:rsidP="00537BD9">
      <w:pPr>
        <w:pStyle w:val="Akapitzlist"/>
        <w:tabs>
          <w:tab w:val="center" w:pos="4391"/>
        </w:tabs>
        <w:spacing w:after="0" w:line="248" w:lineRule="auto"/>
        <w:ind w:left="1134" w:right="0" w:hanging="425"/>
        <w:jc w:val="left"/>
        <w:rPr>
          <w:rFonts w:ascii="Lato" w:hAnsi="Lato" w:cs="Arial"/>
          <w:b/>
          <w:bCs/>
          <w:color w:val="auto"/>
          <w:sz w:val="20"/>
          <w:szCs w:val="20"/>
        </w:rPr>
      </w:pPr>
      <w:r w:rsidRPr="00862FE5">
        <w:rPr>
          <w:rFonts w:ascii="Lato" w:hAnsi="Lato" w:cs="Arial"/>
          <w:b/>
          <w:bCs/>
          <w:color w:val="auto"/>
          <w:sz w:val="20"/>
          <w:szCs w:val="20"/>
        </w:rPr>
        <w:t>2.3.</w:t>
      </w:r>
      <w:r w:rsidRPr="00862FE5">
        <w:rPr>
          <w:rFonts w:ascii="Lato" w:hAnsi="Lato" w:cs="Arial"/>
          <w:b/>
          <w:bCs/>
          <w:color w:val="auto"/>
          <w:sz w:val="20"/>
          <w:szCs w:val="20"/>
        </w:rPr>
        <w:tab/>
        <w:t xml:space="preserve">Warunki przyjęcia na budowę materiałów i wyrobów do robót malarskich  </w:t>
      </w:r>
    </w:p>
    <w:p w14:paraId="243BBF7A"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Materiały i wyroby do robót malarskich mogą być przyjęte na budowę, jeśli spełniają następujące warunki:</w:t>
      </w:r>
    </w:p>
    <w:p w14:paraId="232D5E46" w14:textId="50BE0B00" w:rsidR="006E2DFB" w:rsidRPr="00862FE5" w:rsidRDefault="00AA110B" w:rsidP="004F7B3F">
      <w:pPr>
        <w:numPr>
          <w:ilvl w:val="0"/>
          <w:numId w:val="7"/>
        </w:numPr>
        <w:spacing w:after="0"/>
        <w:ind w:right="0" w:hanging="286"/>
        <w:rPr>
          <w:rFonts w:ascii="Lato" w:hAnsi="Lato" w:cs="Arial"/>
          <w:color w:val="auto"/>
          <w:sz w:val="20"/>
          <w:szCs w:val="20"/>
        </w:rPr>
      </w:pPr>
      <w:r w:rsidRPr="00862FE5">
        <w:rPr>
          <w:rFonts w:ascii="Lato" w:hAnsi="Lato" w:cs="Arial"/>
          <w:color w:val="auto"/>
          <w:sz w:val="20"/>
          <w:szCs w:val="20"/>
        </w:rPr>
        <w:t>są zgodne z ich wyszczególnieniem i charakterystyką podaną w dokumentacji projektowej i w</w:t>
      </w:r>
      <w:r w:rsidR="00BC0788" w:rsidRPr="00862FE5">
        <w:rPr>
          <w:rFonts w:ascii="Lato" w:hAnsi="Lato" w:cs="Arial"/>
          <w:color w:val="auto"/>
          <w:sz w:val="20"/>
          <w:szCs w:val="20"/>
        </w:rPr>
        <w:t xml:space="preserve"> </w:t>
      </w:r>
      <w:r w:rsidRPr="00862FE5">
        <w:rPr>
          <w:rFonts w:ascii="Lato" w:hAnsi="Lato" w:cs="Arial"/>
          <w:color w:val="auto"/>
          <w:sz w:val="20"/>
          <w:szCs w:val="20"/>
        </w:rPr>
        <w:t>niniejszej specyfikacji technicznej,</w:t>
      </w:r>
    </w:p>
    <w:p w14:paraId="1E866AB0" w14:textId="2489ACFC" w:rsidR="006E2DFB" w:rsidRPr="00862FE5" w:rsidRDefault="00AA110B" w:rsidP="004F7B3F">
      <w:pPr>
        <w:numPr>
          <w:ilvl w:val="0"/>
          <w:numId w:val="7"/>
        </w:numPr>
        <w:spacing w:after="0"/>
        <w:ind w:right="0" w:hanging="286"/>
        <w:rPr>
          <w:rFonts w:ascii="Lato" w:hAnsi="Lato" w:cs="Arial"/>
          <w:color w:val="auto"/>
          <w:sz w:val="20"/>
          <w:szCs w:val="20"/>
        </w:rPr>
      </w:pPr>
      <w:r w:rsidRPr="00862FE5">
        <w:rPr>
          <w:rFonts w:ascii="Lato" w:hAnsi="Lato" w:cs="Arial"/>
          <w:color w:val="auto"/>
          <w:sz w:val="20"/>
          <w:szCs w:val="20"/>
        </w:rPr>
        <w:t>są właściwie opakowane, firmowo zamknięte (bez oznak naruszenia zamknięć) i oznakowane</w:t>
      </w:r>
      <w:r w:rsidR="00BC0788" w:rsidRPr="00862FE5">
        <w:rPr>
          <w:rFonts w:ascii="Lato" w:hAnsi="Lato" w:cs="Arial"/>
          <w:color w:val="auto"/>
          <w:sz w:val="20"/>
          <w:szCs w:val="20"/>
        </w:rPr>
        <w:t xml:space="preserve"> </w:t>
      </w:r>
      <w:r w:rsidRPr="00862FE5">
        <w:rPr>
          <w:rFonts w:ascii="Lato" w:hAnsi="Lato" w:cs="Arial"/>
          <w:color w:val="auto"/>
          <w:sz w:val="20"/>
          <w:szCs w:val="20"/>
        </w:rPr>
        <w:t>w sposób umożliwiający ich pełną identyfikację,</w:t>
      </w:r>
    </w:p>
    <w:p w14:paraId="25B7B1D0" w14:textId="77777777" w:rsidR="006E2DFB" w:rsidRPr="00862FE5" w:rsidRDefault="00AA110B" w:rsidP="004F7B3F">
      <w:pPr>
        <w:numPr>
          <w:ilvl w:val="0"/>
          <w:numId w:val="7"/>
        </w:numPr>
        <w:spacing w:after="0"/>
        <w:ind w:right="0" w:hanging="286"/>
        <w:rPr>
          <w:rFonts w:ascii="Lato" w:hAnsi="Lato" w:cs="Arial"/>
          <w:color w:val="auto"/>
          <w:sz w:val="20"/>
          <w:szCs w:val="20"/>
        </w:rPr>
      </w:pPr>
      <w:r w:rsidRPr="00862FE5">
        <w:rPr>
          <w:rFonts w:ascii="Lato" w:hAnsi="Lato" w:cs="Arial"/>
          <w:color w:val="auto"/>
          <w:sz w:val="20"/>
          <w:szCs w:val="20"/>
        </w:rPr>
        <w:t>spełniają wymagane właściwości wskazane odpowiednimi dokumentami odniesienia,</w:t>
      </w:r>
    </w:p>
    <w:p w14:paraId="132D442B" w14:textId="02A8E5EF" w:rsidR="006E2DFB" w:rsidRPr="00862FE5" w:rsidRDefault="00AA110B" w:rsidP="004F7B3F">
      <w:pPr>
        <w:numPr>
          <w:ilvl w:val="0"/>
          <w:numId w:val="7"/>
        </w:numPr>
        <w:spacing w:after="0"/>
        <w:ind w:right="0" w:hanging="286"/>
        <w:rPr>
          <w:rFonts w:ascii="Lato" w:hAnsi="Lato" w:cs="Arial"/>
          <w:color w:val="auto"/>
          <w:sz w:val="20"/>
          <w:szCs w:val="20"/>
        </w:rPr>
      </w:pPr>
      <w:r w:rsidRPr="00862FE5">
        <w:rPr>
          <w:rFonts w:ascii="Lato" w:hAnsi="Lato" w:cs="Arial"/>
          <w:color w:val="auto"/>
          <w:sz w:val="20"/>
          <w:szCs w:val="20"/>
        </w:rPr>
        <w:t>producent dostarczył dokumenty świadczące o dopuszczeniu do obrotu i powszechnego lub</w:t>
      </w:r>
      <w:r w:rsidR="00BC0788" w:rsidRPr="00862FE5">
        <w:rPr>
          <w:rFonts w:ascii="Lato" w:hAnsi="Lato" w:cs="Arial"/>
          <w:color w:val="auto"/>
          <w:sz w:val="20"/>
          <w:szCs w:val="20"/>
        </w:rPr>
        <w:t xml:space="preserve"> </w:t>
      </w:r>
      <w:r w:rsidRPr="00862FE5">
        <w:rPr>
          <w:rFonts w:ascii="Lato" w:hAnsi="Lato" w:cs="Arial"/>
          <w:color w:val="auto"/>
          <w:sz w:val="20"/>
          <w:szCs w:val="20"/>
        </w:rPr>
        <w:t>jednostkowego zastosowania wyrobów oraz karty techniczne (katalogowe) wyrobów lub firmowe wytyczne (zalecenia) stosowania wyrobów,</w:t>
      </w:r>
    </w:p>
    <w:p w14:paraId="4A9CE3A9" w14:textId="1D63995D" w:rsidR="006E2DFB" w:rsidRPr="00862FE5" w:rsidRDefault="00AA110B" w:rsidP="004F7B3F">
      <w:pPr>
        <w:numPr>
          <w:ilvl w:val="0"/>
          <w:numId w:val="7"/>
        </w:numPr>
        <w:spacing w:after="0"/>
        <w:ind w:right="0" w:hanging="286"/>
        <w:rPr>
          <w:rFonts w:ascii="Lato" w:hAnsi="Lato" w:cs="Arial"/>
          <w:color w:val="auto"/>
          <w:sz w:val="20"/>
          <w:szCs w:val="20"/>
        </w:rPr>
      </w:pPr>
      <w:r w:rsidRPr="00862FE5">
        <w:rPr>
          <w:rFonts w:ascii="Lato" w:hAnsi="Lato" w:cs="Arial"/>
          <w:color w:val="auto"/>
          <w:sz w:val="20"/>
          <w:szCs w:val="20"/>
        </w:rPr>
        <w:t>niebezpieczne wyroby malarskie i materiały pomocnicze, w zakresie wynikającym z Ustawy o</w:t>
      </w:r>
      <w:r w:rsidR="00BC0788" w:rsidRPr="00862FE5">
        <w:rPr>
          <w:rFonts w:ascii="Lato" w:hAnsi="Lato" w:cs="Arial"/>
          <w:color w:val="auto"/>
          <w:sz w:val="20"/>
          <w:szCs w:val="20"/>
        </w:rPr>
        <w:t xml:space="preserve"> </w:t>
      </w:r>
      <w:r w:rsidRPr="00862FE5">
        <w:rPr>
          <w:rFonts w:ascii="Lato" w:hAnsi="Lato" w:cs="Arial"/>
          <w:color w:val="auto"/>
          <w:sz w:val="20"/>
          <w:szCs w:val="20"/>
        </w:rPr>
        <w:t>substancjach i preparatach chemicznych z dnia 11 stycznia 2001 r. (tekst jednolity Dz. U. z 2009 r. Nr 152, poz. 1222 z późn. zmianami), posiadają karty charakterystyki substancji niebezpiecznej,</w:t>
      </w:r>
    </w:p>
    <w:p w14:paraId="7FD6B384" w14:textId="73E11806" w:rsidR="006E2DFB" w:rsidRPr="00862FE5" w:rsidRDefault="00AA110B" w:rsidP="004F7B3F">
      <w:pPr>
        <w:numPr>
          <w:ilvl w:val="0"/>
          <w:numId w:val="7"/>
        </w:numPr>
        <w:spacing w:after="0"/>
        <w:ind w:right="0" w:hanging="286"/>
        <w:rPr>
          <w:rFonts w:ascii="Lato" w:hAnsi="Lato" w:cs="Arial"/>
          <w:color w:val="auto"/>
          <w:sz w:val="20"/>
          <w:szCs w:val="20"/>
        </w:rPr>
      </w:pPr>
      <w:r w:rsidRPr="00862FE5">
        <w:rPr>
          <w:rFonts w:ascii="Lato" w:hAnsi="Lato" w:cs="Arial"/>
          <w:color w:val="auto"/>
          <w:sz w:val="20"/>
          <w:szCs w:val="20"/>
        </w:rPr>
        <w:t>opakowania wyrobów zakwalifikowanych do niebezpiecznych spełniają wymagania podane w</w:t>
      </w:r>
      <w:r w:rsidR="00BC0788" w:rsidRPr="00862FE5">
        <w:rPr>
          <w:rFonts w:ascii="Lato" w:hAnsi="Lato" w:cs="Arial"/>
          <w:color w:val="auto"/>
          <w:sz w:val="20"/>
          <w:szCs w:val="20"/>
        </w:rPr>
        <w:t xml:space="preserve"> </w:t>
      </w:r>
      <w:r w:rsidRPr="00862FE5">
        <w:rPr>
          <w:rFonts w:ascii="Lato" w:hAnsi="Lato" w:cs="Arial"/>
          <w:color w:val="auto"/>
          <w:sz w:val="20"/>
          <w:szCs w:val="20"/>
        </w:rPr>
        <w:t>rozporządzeniu Ministra Zdrowia z dnia 5 marca 2009 r. w sprawie oznakowania opakowań substancji niebezpiecznych i preparatów niebezpiecznych oraz niektórych preparatów chemicznych (Dz. U. z 2009 r. Nr 53, poz. 439),</w:t>
      </w:r>
    </w:p>
    <w:p w14:paraId="6AB1C915" w14:textId="39E07B25" w:rsidR="006E2DFB" w:rsidRPr="00862FE5" w:rsidRDefault="00AA110B" w:rsidP="004F7B3F">
      <w:pPr>
        <w:numPr>
          <w:ilvl w:val="0"/>
          <w:numId w:val="7"/>
        </w:numPr>
        <w:spacing w:after="0"/>
        <w:ind w:right="0" w:hanging="286"/>
        <w:rPr>
          <w:rFonts w:ascii="Lato" w:hAnsi="Lato" w:cs="Arial"/>
          <w:color w:val="auto"/>
          <w:sz w:val="20"/>
          <w:szCs w:val="20"/>
        </w:rPr>
      </w:pPr>
      <w:r w:rsidRPr="00862FE5">
        <w:rPr>
          <w:rFonts w:ascii="Lato" w:hAnsi="Lato" w:cs="Arial"/>
          <w:color w:val="auto"/>
          <w:sz w:val="20"/>
          <w:szCs w:val="20"/>
        </w:rPr>
        <w:t>spełniają wymagania wynikające z ich terminu przydatności do użycia (termin zakończenia</w:t>
      </w:r>
      <w:r w:rsidR="00BC0788" w:rsidRPr="00862FE5">
        <w:rPr>
          <w:rFonts w:ascii="Lato" w:hAnsi="Lato" w:cs="Arial"/>
          <w:color w:val="auto"/>
          <w:sz w:val="20"/>
          <w:szCs w:val="20"/>
        </w:rPr>
        <w:t xml:space="preserve"> </w:t>
      </w:r>
      <w:r w:rsidRPr="00862FE5">
        <w:rPr>
          <w:rFonts w:ascii="Lato" w:hAnsi="Lato" w:cs="Arial"/>
          <w:color w:val="auto"/>
          <w:sz w:val="20"/>
          <w:szCs w:val="20"/>
        </w:rPr>
        <w:t>robót malarskich powinien się kończyć przed zakończeniem podanych na opakowaniach terminów przydatności do stosowania odpowiednich wyrobów).</w:t>
      </w:r>
    </w:p>
    <w:p w14:paraId="417C2DD4" w14:textId="5E0D2916" w:rsidR="006E2DFB" w:rsidRPr="00862FE5" w:rsidRDefault="00AA110B" w:rsidP="004F7B3F">
      <w:pPr>
        <w:spacing w:after="0" w:line="248" w:lineRule="auto"/>
        <w:ind w:left="-15" w:right="0" w:firstLine="286"/>
        <w:jc w:val="left"/>
        <w:rPr>
          <w:rFonts w:ascii="Lato" w:hAnsi="Lato" w:cs="Arial"/>
          <w:color w:val="auto"/>
          <w:sz w:val="20"/>
          <w:szCs w:val="20"/>
        </w:rPr>
      </w:pPr>
      <w:r w:rsidRPr="00862FE5">
        <w:rPr>
          <w:rFonts w:ascii="Lato" w:hAnsi="Lato" w:cs="Arial"/>
          <w:color w:val="auto"/>
          <w:sz w:val="20"/>
          <w:szCs w:val="20"/>
        </w:rPr>
        <w:t>Przyjęcie materiałów i wyrobów na budowę powinno być potwierdzone wpisem do dziennika budowy lub protokołem przyjęcia materiałów.</w:t>
      </w:r>
    </w:p>
    <w:p w14:paraId="39EE1685" w14:textId="77777777" w:rsidR="00537BD9" w:rsidRPr="00862FE5" w:rsidRDefault="00537BD9" w:rsidP="004F7B3F">
      <w:pPr>
        <w:spacing w:after="0" w:line="248" w:lineRule="auto"/>
        <w:ind w:left="-15" w:right="0" w:firstLine="286"/>
        <w:jc w:val="left"/>
        <w:rPr>
          <w:rFonts w:ascii="Lato" w:hAnsi="Lato" w:cs="Arial"/>
          <w:b/>
          <w:bCs/>
          <w:color w:val="auto"/>
          <w:sz w:val="20"/>
          <w:szCs w:val="20"/>
        </w:rPr>
      </w:pPr>
    </w:p>
    <w:p w14:paraId="53F6F9E0" w14:textId="77777777" w:rsidR="006E2DFB" w:rsidRPr="00862FE5" w:rsidRDefault="00AA110B" w:rsidP="00537BD9">
      <w:pPr>
        <w:pStyle w:val="Akapitzlist"/>
        <w:tabs>
          <w:tab w:val="center" w:pos="4192"/>
        </w:tabs>
        <w:spacing w:after="0" w:line="248" w:lineRule="auto"/>
        <w:ind w:left="1134" w:right="0" w:hanging="425"/>
        <w:jc w:val="left"/>
        <w:rPr>
          <w:rFonts w:ascii="Lato" w:hAnsi="Lato" w:cs="Arial"/>
          <w:b/>
          <w:bCs/>
          <w:color w:val="auto"/>
          <w:sz w:val="20"/>
          <w:szCs w:val="20"/>
        </w:rPr>
      </w:pPr>
      <w:r w:rsidRPr="00862FE5">
        <w:rPr>
          <w:rFonts w:ascii="Lato" w:hAnsi="Lato" w:cs="Arial"/>
          <w:b/>
          <w:bCs/>
          <w:color w:val="auto"/>
          <w:sz w:val="20"/>
          <w:szCs w:val="20"/>
        </w:rPr>
        <w:t>2.4.</w:t>
      </w:r>
      <w:r w:rsidRPr="00862FE5">
        <w:rPr>
          <w:rFonts w:ascii="Lato" w:hAnsi="Lato" w:cs="Arial"/>
          <w:b/>
          <w:bCs/>
          <w:color w:val="auto"/>
          <w:sz w:val="20"/>
          <w:szCs w:val="20"/>
        </w:rPr>
        <w:tab/>
        <w:t xml:space="preserve">Warunki przechowywania materiałów i wyrobów do robót malarskich </w:t>
      </w:r>
    </w:p>
    <w:p w14:paraId="44DCFABD"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Materiały i wyroby do robót malarskich powinny być przechowywane i magazynowane zgodnie z instrukcją producenta oraz wymaganiami odpowiednich dokumentów odniesienia tj. norm bądź aprobat technicznych lub wytycznych wynikających z niniejszej specyfikacji technicznej.</w:t>
      </w:r>
    </w:p>
    <w:p w14:paraId="6C8C01DE"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Pomieszczenie magazynowe do przechowywania materiałów i wyrobów opakowanych powinno być kryte, suche oraz zabezpieczone przed zawilgoceniem, opadami atmosferycznymi, przemarznięciem i przed działaniem promieni słonecznych.</w:t>
      </w:r>
    </w:p>
    <w:p w14:paraId="5230A05A"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 xml:space="preserve">Wyroby malarskie konfekcjonowane powinny być przechowywane w oryginalnych, zamkniętych opakowaniach w temperaturze powyżej +5°C a poniżej +35°C, o ile SST nie mówi inaczej. Wyroby pakowane w worki powinny być układane na paletach lub drewnianej wentylowanej podłodze, w ilości warstw nie większej niż 10. </w:t>
      </w:r>
    </w:p>
    <w:p w14:paraId="2E847C88" w14:textId="1A55D661"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14:paraId="6A0E038E" w14:textId="77777777" w:rsidR="00537BD9" w:rsidRPr="00862FE5" w:rsidRDefault="00537BD9" w:rsidP="004F7B3F">
      <w:pPr>
        <w:spacing w:after="0"/>
        <w:ind w:left="-15" w:right="0" w:firstLine="286"/>
        <w:rPr>
          <w:rFonts w:ascii="Lato" w:hAnsi="Lato" w:cs="Arial"/>
          <w:color w:val="auto"/>
          <w:sz w:val="20"/>
          <w:szCs w:val="20"/>
        </w:rPr>
      </w:pPr>
    </w:p>
    <w:p w14:paraId="2BAA2D19" w14:textId="36AB40E5" w:rsidR="006E2DFB" w:rsidRPr="00862FE5" w:rsidRDefault="00AA110B" w:rsidP="004F7B3F">
      <w:pPr>
        <w:numPr>
          <w:ilvl w:val="0"/>
          <w:numId w:val="8"/>
        </w:numPr>
        <w:spacing w:after="0" w:line="248" w:lineRule="auto"/>
        <w:ind w:right="0" w:hanging="360"/>
        <w:jc w:val="left"/>
        <w:rPr>
          <w:rFonts w:ascii="Lato" w:hAnsi="Lato" w:cs="Arial"/>
          <w:b/>
          <w:bCs/>
          <w:color w:val="auto"/>
          <w:sz w:val="20"/>
          <w:szCs w:val="20"/>
        </w:rPr>
      </w:pPr>
      <w:r w:rsidRPr="00862FE5">
        <w:rPr>
          <w:rFonts w:ascii="Lato" w:hAnsi="Lato" w:cs="Arial"/>
          <w:b/>
          <w:bCs/>
          <w:color w:val="auto"/>
          <w:sz w:val="20"/>
          <w:szCs w:val="20"/>
        </w:rPr>
        <w:t>WYMAGANIA DOTYCZĄCE SPRZĘTU, MASZYN I NARZĘDZI</w:t>
      </w:r>
    </w:p>
    <w:p w14:paraId="62E550A7" w14:textId="77777777" w:rsidR="00537BD9" w:rsidRPr="00862FE5" w:rsidRDefault="00537BD9" w:rsidP="00537BD9">
      <w:pPr>
        <w:spacing w:after="0" w:line="248" w:lineRule="auto"/>
        <w:ind w:left="360" w:right="0" w:firstLine="0"/>
        <w:jc w:val="left"/>
        <w:rPr>
          <w:rFonts w:ascii="Lato" w:hAnsi="Lato" w:cs="Arial"/>
          <w:b/>
          <w:bCs/>
          <w:color w:val="auto"/>
          <w:sz w:val="20"/>
          <w:szCs w:val="20"/>
        </w:rPr>
      </w:pPr>
    </w:p>
    <w:p w14:paraId="3A90DAB2" w14:textId="1950BA8E" w:rsidR="006E2DFB" w:rsidRPr="00862FE5" w:rsidRDefault="00AA110B" w:rsidP="004F7B3F">
      <w:pPr>
        <w:numPr>
          <w:ilvl w:val="1"/>
          <w:numId w:val="8"/>
        </w:numPr>
        <w:spacing w:after="0" w:line="248" w:lineRule="auto"/>
        <w:ind w:right="0" w:hanging="571"/>
        <w:jc w:val="left"/>
        <w:rPr>
          <w:rFonts w:ascii="Lato" w:hAnsi="Lato" w:cs="Arial"/>
          <w:color w:val="auto"/>
          <w:sz w:val="20"/>
          <w:szCs w:val="20"/>
        </w:rPr>
      </w:pPr>
      <w:r w:rsidRPr="00862FE5">
        <w:rPr>
          <w:rFonts w:ascii="Lato" w:hAnsi="Lato" w:cs="Arial"/>
          <w:color w:val="auto"/>
          <w:sz w:val="20"/>
          <w:szCs w:val="20"/>
        </w:rPr>
        <w:t>Ogólne wymagania dotyczące sprzętu podano w ST „Wymagania ogólne” Kod CPV 45000000-7, pkt 3</w:t>
      </w:r>
    </w:p>
    <w:p w14:paraId="4911A317" w14:textId="77777777" w:rsidR="00537BD9" w:rsidRPr="00862FE5" w:rsidRDefault="00537BD9" w:rsidP="00537BD9">
      <w:pPr>
        <w:spacing w:after="0" w:line="248" w:lineRule="auto"/>
        <w:ind w:left="1291" w:right="0" w:firstLine="0"/>
        <w:jc w:val="left"/>
        <w:rPr>
          <w:rFonts w:ascii="Lato" w:hAnsi="Lato" w:cs="Arial"/>
          <w:color w:val="auto"/>
          <w:sz w:val="20"/>
          <w:szCs w:val="20"/>
        </w:rPr>
      </w:pPr>
    </w:p>
    <w:p w14:paraId="6222A47F" w14:textId="77777777" w:rsidR="006E2DFB" w:rsidRPr="00862FE5" w:rsidRDefault="00AA110B" w:rsidP="004F7B3F">
      <w:pPr>
        <w:numPr>
          <w:ilvl w:val="1"/>
          <w:numId w:val="8"/>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Sprzęt i narzędzia do wykonywania robót malarskich</w:t>
      </w:r>
    </w:p>
    <w:p w14:paraId="660D8110"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Wykonawca jest zobowiązany do używania takich narzędzi i sprzętu, które nie spowodują niekorzystnego wpływu na jakość materiałów i wykonywanych robót oraz będą przyjazne dla środowiska, a także bezpieczne dla brygad roboczych wykonujących roboty malarskie. Przy doborze narzędzi i sprzętu należy uwzględnić wymagania producenta stosowanych materiałów i wyrobów.</w:t>
      </w:r>
    </w:p>
    <w:p w14:paraId="2F1D365A"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Do wykonywania robót malarskich należy stosować:</w:t>
      </w:r>
    </w:p>
    <w:p w14:paraId="0EBAF7FC" w14:textId="77777777" w:rsidR="006E2DFB" w:rsidRPr="00862FE5" w:rsidRDefault="00AA110B" w:rsidP="004F7B3F">
      <w:pPr>
        <w:numPr>
          <w:ilvl w:val="0"/>
          <w:numId w:val="9"/>
        </w:numPr>
        <w:spacing w:after="0"/>
        <w:ind w:right="0" w:hanging="286"/>
        <w:rPr>
          <w:rFonts w:ascii="Lato" w:hAnsi="Lato" w:cs="Arial"/>
          <w:color w:val="auto"/>
          <w:sz w:val="20"/>
          <w:szCs w:val="20"/>
        </w:rPr>
      </w:pPr>
      <w:r w:rsidRPr="00862FE5">
        <w:rPr>
          <w:rFonts w:ascii="Lato" w:hAnsi="Lato" w:cs="Arial"/>
          <w:color w:val="auto"/>
          <w:sz w:val="20"/>
          <w:szCs w:val="20"/>
        </w:rPr>
        <w:t>szczotki o sztywnym włosiu lub druciane do czyszczenia podłoża,</w:t>
      </w:r>
    </w:p>
    <w:p w14:paraId="35C8377E" w14:textId="77777777" w:rsidR="006E2DFB" w:rsidRPr="00862FE5" w:rsidRDefault="00AA110B" w:rsidP="004F7B3F">
      <w:pPr>
        <w:numPr>
          <w:ilvl w:val="0"/>
          <w:numId w:val="9"/>
        </w:numPr>
        <w:spacing w:after="0"/>
        <w:ind w:right="0" w:hanging="286"/>
        <w:rPr>
          <w:rFonts w:ascii="Lato" w:hAnsi="Lato" w:cs="Arial"/>
          <w:color w:val="auto"/>
          <w:sz w:val="20"/>
          <w:szCs w:val="20"/>
        </w:rPr>
      </w:pPr>
      <w:r w:rsidRPr="00862FE5">
        <w:rPr>
          <w:rFonts w:ascii="Lato" w:hAnsi="Lato" w:cs="Arial"/>
          <w:color w:val="auto"/>
          <w:sz w:val="20"/>
          <w:szCs w:val="20"/>
        </w:rPr>
        <w:t>szpachle i pace metalowe lub z tworzyw sztucznych,</w:t>
      </w:r>
    </w:p>
    <w:p w14:paraId="5D05B869" w14:textId="77777777" w:rsidR="006E2DFB" w:rsidRPr="00862FE5" w:rsidRDefault="00AA110B" w:rsidP="004F7B3F">
      <w:pPr>
        <w:numPr>
          <w:ilvl w:val="0"/>
          <w:numId w:val="9"/>
        </w:numPr>
        <w:spacing w:after="0"/>
        <w:ind w:right="0" w:hanging="286"/>
        <w:rPr>
          <w:rFonts w:ascii="Lato" w:hAnsi="Lato" w:cs="Arial"/>
          <w:color w:val="auto"/>
          <w:sz w:val="20"/>
          <w:szCs w:val="20"/>
        </w:rPr>
      </w:pPr>
      <w:r w:rsidRPr="00862FE5">
        <w:rPr>
          <w:rFonts w:ascii="Lato" w:hAnsi="Lato" w:cs="Arial"/>
          <w:color w:val="auto"/>
          <w:sz w:val="20"/>
          <w:szCs w:val="20"/>
        </w:rPr>
        <w:t>pędzle i wałki,</w:t>
      </w:r>
    </w:p>
    <w:p w14:paraId="3F80739B" w14:textId="19645A14" w:rsidR="006E2DFB" w:rsidRPr="00862FE5" w:rsidRDefault="00AA110B" w:rsidP="004F7B3F">
      <w:pPr>
        <w:numPr>
          <w:ilvl w:val="0"/>
          <w:numId w:val="9"/>
        </w:numPr>
        <w:spacing w:after="0"/>
        <w:ind w:right="0" w:hanging="286"/>
        <w:rPr>
          <w:rFonts w:ascii="Lato" w:hAnsi="Lato" w:cs="Arial"/>
          <w:color w:val="auto"/>
          <w:sz w:val="20"/>
          <w:szCs w:val="20"/>
        </w:rPr>
      </w:pPr>
      <w:r w:rsidRPr="00862FE5">
        <w:rPr>
          <w:rFonts w:ascii="Lato" w:hAnsi="Lato" w:cs="Arial"/>
          <w:color w:val="auto"/>
          <w:sz w:val="20"/>
          <w:szCs w:val="20"/>
        </w:rPr>
        <w:lastRenderedPageBreak/>
        <w:t>mieszadła napędzane wiertarką elektryczną oraz pojemniki do przygotowania kompozycji</w:t>
      </w:r>
      <w:r w:rsidR="00BC0788" w:rsidRPr="00862FE5">
        <w:rPr>
          <w:rFonts w:ascii="Lato" w:hAnsi="Lato" w:cs="Arial"/>
          <w:color w:val="auto"/>
          <w:sz w:val="20"/>
          <w:szCs w:val="20"/>
        </w:rPr>
        <w:t xml:space="preserve"> </w:t>
      </w:r>
      <w:r w:rsidRPr="00862FE5">
        <w:rPr>
          <w:rFonts w:ascii="Lato" w:hAnsi="Lato" w:cs="Arial"/>
          <w:color w:val="auto"/>
          <w:sz w:val="20"/>
          <w:szCs w:val="20"/>
        </w:rPr>
        <w:t>składników farb,</w:t>
      </w:r>
    </w:p>
    <w:p w14:paraId="3DDFC485" w14:textId="251C4E41" w:rsidR="006E2DFB" w:rsidRPr="00862FE5" w:rsidRDefault="00AA110B" w:rsidP="004F7B3F">
      <w:pPr>
        <w:numPr>
          <w:ilvl w:val="0"/>
          <w:numId w:val="9"/>
        </w:numPr>
        <w:spacing w:after="0"/>
        <w:ind w:right="0" w:hanging="286"/>
        <w:rPr>
          <w:rFonts w:ascii="Lato" w:hAnsi="Lato" w:cs="Arial"/>
          <w:color w:val="auto"/>
          <w:sz w:val="20"/>
          <w:szCs w:val="20"/>
        </w:rPr>
      </w:pPr>
      <w:r w:rsidRPr="00862FE5">
        <w:rPr>
          <w:rFonts w:ascii="Lato" w:hAnsi="Lato" w:cs="Arial"/>
          <w:color w:val="auto"/>
          <w:sz w:val="20"/>
          <w:szCs w:val="20"/>
        </w:rPr>
        <w:t>agregaty malarskie ze sprężarkami,– drabiny i rusztowania.</w:t>
      </w:r>
    </w:p>
    <w:p w14:paraId="49F2D1BB" w14:textId="77777777" w:rsidR="0066362D" w:rsidRPr="00862FE5" w:rsidRDefault="0066362D" w:rsidP="0066362D">
      <w:pPr>
        <w:spacing w:after="0"/>
        <w:ind w:left="286" w:right="0" w:firstLine="0"/>
        <w:rPr>
          <w:rFonts w:ascii="Lato" w:hAnsi="Lato" w:cs="Arial"/>
          <w:color w:val="auto"/>
          <w:sz w:val="20"/>
          <w:szCs w:val="20"/>
        </w:rPr>
      </w:pPr>
    </w:p>
    <w:p w14:paraId="4C82F988" w14:textId="3ED859A7" w:rsidR="006E2DFB" w:rsidRPr="00862FE5" w:rsidRDefault="00AA110B" w:rsidP="004F7B3F">
      <w:pPr>
        <w:numPr>
          <w:ilvl w:val="0"/>
          <w:numId w:val="10"/>
        </w:numPr>
        <w:spacing w:after="0" w:line="248" w:lineRule="auto"/>
        <w:ind w:right="0" w:hanging="451"/>
        <w:jc w:val="left"/>
        <w:rPr>
          <w:rFonts w:ascii="Lato" w:hAnsi="Lato" w:cs="Arial"/>
          <w:b/>
          <w:bCs/>
          <w:color w:val="auto"/>
          <w:sz w:val="20"/>
          <w:szCs w:val="20"/>
        </w:rPr>
      </w:pPr>
      <w:r w:rsidRPr="00862FE5">
        <w:rPr>
          <w:rFonts w:ascii="Lato" w:hAnsi="Lato" w:cs="Arial"/>
          <w:b/>
          <w:bCs/>
          <w:color w:val="auto"/>
          <w:sz w:val="20"/>
          <w:szCs w:val="20"/>
        </w:rPr>
        <w:t>WYMAGANIA DOTYCZĄCE TRANSPORTU</w:t>
      </w:r>
    </w:p>
    <w:p w14:paraId="0CF430A4" w14:textId="77777777" w:rsidR="00537BD9" w:rsidRPr="00862FE5" w:rsidRDefault="00537BD9" w:rsidP="00537BD9">
      <w:pPr>
        <w:spacing w:after="0" w:line="248" w:lineRule="auto"/>
        <w:ind w:left="451" w:right="0" w:firstLine="0"/>
        <w:jc w:val="left"/>
        <w:rPr>
          <w:rFonts w:ascii="Lato" w:hAnsi="Lato" w:cs="Arial"/>
          <w:b/>
          <w:bCs/>
          <w:color w:val="auto"/>
          <w:sz w:val="20"/>
          <w:szCs w:val="20"/>
        </w:rPr>
      </w:pPr>
    </w:p>
    <w:p w14:paraId="57ABC0BA" w14:textId="7F6B17E6" w:rsidR="006E2DFB" w:rsidRPr="00862FE5" w:rsidRDefault="00AA110B" w:rsidP="004F7B3F">
      <w:pPr>
        <w:numPr>
          <w:ilvl w:val="1"/>
          <w:numId w:val="10"/>
        </w:numPr>
        <w:spacing w:after="0" w:line="248" w:lineRule="auto"/>
        <w:ind w:right="0" w:hanging="571"/>
        <w:jc w:val="left"/>
        <w:rPr>
          <w:rFonts w:ascii="Lato" w:hAnsi="Lato" w:cs="Arial"/>
          <w:color w:val="auto"/>
          <w:sz w:val="20"/>
          <w:szCs w:val="20"/>
        </w:rPr>
      </w:pPr>
      <w:r w:rsidRPr="00862FE5">
        <w:rPr>
          <w:rFonts w:ascii="Lato" w:hAnsi="Lato" w:cs="Arial"/>
          <w:color w:val="auto"/>
          <w:sz w:val="20"/>
          <w:szCs w:val="20"/>
        </w:rPr>
        <w:t>Ogólne wymagania dotyczące transportu podano w ST „Wymagania ogólne” Kod CPV 45000000-7, pkt 4</w:t>
      </w:r>
    </w:p>
    <w:p w14:paraId="4A80C711" w14:textId="77777777" w:rsidR="00537BD9" w:rsidRPr="00862FE5" w:rsidRDefault="00537BD9" w:rsidP="00537BD9">
      <w:pPr>
        <w:spacing w:after="0" w:line="248" w:lineRule="auto"/>
        <w:ind w:left="1291" w:right="0" w:firstLine="0"/>
        <w:jc w:val="left"/>
        <w:rPr>
          <w:rFonts w:ascii="Lato" w:hAnsi="Lato" w:cs="Arial"/>
          <w:color w:val="auto"/>
          <w:sz w:val="20"/>
          <w:szCs w:val="20"/>
        </w:rPr>
      </w:pPr>
    </w:p>
    <w:p w14:paraId="730D961B" w14:textId="77777777" w:rsidR="006E2DFB" w:rsidRPr="00862FE5" w:rsidRDefault="00AA110B" w:rsidP="004F7B3F">
      <w:pPr>
        <w:numPr>
          <w:ilvl w:val="1"/>
          <w:numId w:val="10"/>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Wymagania szczegółowe dotyczące transportu materiałów</w:t>
      </w:r>
    </w:p>
    <w:p w14:paraId="6B447148"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Transport materiałów do robót malarskich w opakowaniach nie wymaga specjalnych urządzeń i środków transportu. W czasie transportu należy zabezpieczyć przewożone materiały w sposób wykluczający ich zawilgocenie i uszkodzenie opakowań. W przypadku dużych ilości materiałów zalecane jest przewożenie ich na paletach i użycie do załadunku oraz rozładunku urządzeń mechanicznych.</w:t>
      </w:r>
    </w:p>
    <w:p w14:paraId="3BBAD184" w14:textId="2912CF2A"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Do transportu farb i innych materiałów w postaci suchych mieszanek, w opakowaniach papierowych zaleca się używać samochodów zamkniętych. Do przewozu farb w innych opakowaniach można wykorzystywać samochody pokryte plandekami lub zamknięte.</w:t>
      </w:r>
    </w:p>
    <w:p w14:paraId="51A24178" w14:textId="77777777" w:rsidR="00537BD9" w:rsidRPr="00862FE5" w:rsidRDefault="00537BD9" w:rsidP="004F7B3F">
      <w:pPr>
        <w:spacing w:after="0"/>
        <w:ind w:left="-15" w:right="0" w:firstLine="286"/>
        <w:rPr>
          <w:rFonts w:ascii="Lato" w:hAnsi="Lato" w:cs="Arial"/>
          <w:color w:val="auto"/>
          <w:sz w:val="20"/>
          <w:szCs w:val="20"/>
        </w:rPr>
      </w:pPr>
    </w:p>
    <w:p w14:paraId="09048042" w14:textId="5B56EAA4" w:rsidR="006E2DFB" w:rsidRPr="00862FE5" w:rsidRDefault="00AA110B" w:rsidP="004F7B3F">
      <w:pPr>
        <w:numPr>
          <w:ilvl w:val="0"/>
          <w:numId w:val="10"/>
        </w:numPr>
        <w:spacing w:after="0" w:line="248" w:lineRule="auto"/>
        <w:ind w:right="0" w:hanging="451"/>
        <w:jc w:val="left"/>
        <w:rPr>
          <w:rFonts w:ascii="Lato" w:hAnsi="Lato" w:cs="Arial"/>
          <w:b/>
          <w:bCs/>
          <w:color w:val="auto"/>
          <w:sz w:val="20"/>
          <w:szCs w:val="20"/>
        </w:rPr>
      </w:pPr>
      <w:r w:rsidRPr="00862FE5">
        <w:rPr>
          <w:rFonts w:ascii="Lato" w:hAnsi="Lato" w:cs="Arial"/>
          <w:b/>
          <w:bCs/>
          <w:color w:val="auto"/>
          <w:sz w:val="20"/>
          <w:szCs w:val="20"/>
        </w:rPr>
        <w:t>WYMAGANIA DOTYCZĄCE WYKONANIA ROBÓT</w:t>
      </w:r>
    </w:p>
    <w:p w14:paraId="30748692" w14:textId="77777777" w:rsidR="00537BD9" w:rsidRPr="00862FE5" w:rsidRDefault="00537BD9" w:rsidP="00537BD9">
      <w:pPr>
        <w:spacing w:after="0" w:line="248" w:lineRule="auto"/>
        <w:ind w:left="451" w:right="0" w:firstLine="0"/>
        <w:jc w:val="left"/>
        <w:rPr>
          <w:rFonts w:ascii="Lato" w:hAnsi="Lato" w:cs="Arial"/>
          <w:b/>
          <w:bCs/>
          <w:color w:val="auto"/>
          <w:sz w:val="20"/>
          <w:szCs w:val="20"/>
        </w:rPr>
      </w:pPr>
    </w:p>
    <w:p w14:paraId="0CB92C83" w14:textId="015B6596" w:rsidR="006E2DFB" w:rsidRPr="00862FE5" w:rsidRDefault="00AA110B" w:rsidP="004F7B3F">
      <w:pPr>
        <w:numPr>
          <w:ilvl w:val="1"/>
          <w:numId w:val="10"/>
        </w:numPr>
        <w:spacing w:after="0" w:line="248" w:lineRule="auto"/>
        <w:ind w:right="0" w:hanging="571"/>
        <w:jc w:val="left"/>
        <w:rPr>
          <w:rFonts w:ascii="Lato" w:hAnsi="Lato" w:cs="Arial"/>
          <w:color w:val="auto"/>
          <w:sz w:val="20"/>
          <w:szCs w:val="20"/>
        </w:rPr>
      </w:pPr>
      <w:r w:rsidRPr="00862FE5">
        <w:rPr>
          <w:rFonts w:ascii="Lato" w:hAnsi="Lato" w:cs="Arial"/>
          <w:color w:val="auto"/>
          <w:sz w:val="20"/>
          <w:szCs w:val="20"/>
        </w:rPr>
        <w:t>Ogólne zasady wykonania robót podano w ST „Wymagania ogólne” Kod CPV 45000000-7, pkt 5</w:t>
      </w:r>
    </w:p>
    <w:p w14:paraId="2A54D71A" w14:textId="77777777" w:rsidR="00537BD9" w:rsidRPr="00862FE5" w:rsidRDefault="00537BD9" w:rsidP="00537BD9">
      <w:pPr>
        <w:spacing w:after="0" w:line="248" w:lineRule="auto"/>
        <w:ind w:left="1291" w:right="0" w:firstLine="0"/>
        <w:jc w:val="left"/>
        <w:rPr>
          <w:rFonts w:ascii="Lato" w:hAnsi="Lato" w:cs="Arial"/>
          <w:color w:val="auto"/>
          <w:sz w:val="20"/>
          <w:szCs w:val="20"/>
        </w:rPr>
      </w:pPr>
    </w:p>
    <w:p w14:paraId="36ED4A79" w14:textId="77777777" w:rsidR="006E2DFB" w:rsidRPr="00862FE5" w:rsidRDefault="00AA110B" w:rsidP="004F7B3F">
      <w:pPr>
        <w:numPr>
          <w:ilvl w:val="1"/>
          <w:numId w:val="10"/>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Warunki przystąpienia do robót malarskich</w:t>
      </w:r>
    </w:p>
    <w:p w14:paraId="484ED63A"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Do wykonywania robót malarskich można przystąpić po całkowitym zakończeniu poprzedzających robót budowlanych oraz po przygotowaniu i kontroli podłoży pod malowanie a także kontroli materiałów.</w:t>
      </w:r>
    </w:p>
    <w:p w14:paraId="137D59D9"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Wewnątrz budynku pierwsze malowanie ścian i sufitów można wykonywać po:</w:t>
      </w:r>
    </w:p>
    <w:p w14:paraId="4AEC8717" w14:textId="77777777" w:rsidR="006E2DFB" w:rsidRPr="00862FE5" w:rsidRDefault="00AA110B" w:rsidP="004F7B3F">
      <w:pPr>
        <w:numPr>
          <w:ilvl w:val="0"/>
          <w:numId w:val="11"/>
        </w:numPr>
        <w:spacing w:after="0"/>
        <w:ind w:right="0" w:hanging="286"/>
        <w:rPr>
          <w:rFonts w:ascii="Lato" w:hAnsi="Lato" w:cs="Arial"/>
          <w:color w:val="auto"/>
          <w:sz w:val="20"/>
          <w:szCs w:val="20"/>
        </w:rPr>
      </w:pPr>
      <w:r w:rsidRPr="00862FE5">
        <w:rPr>
          <w:rFonts w:ascii="Lato" w:hAnsi="Lato" w:cs="Arial"/>
          <w:color w:val="auto"/>
          <w:sz w:val="20"/>
          <w:szCs w:val="20"/>
        </w:rPr>
        <w:t>całkowitym ukończeniu robót instalacyjnych, tj. wodociągowych, kanalizacyjnych, centralnego ogrzewania, gazowych, elektrycznych, z wyjątkiem założenia urządzeń sanitarnych (biały montaż) oraz armatury oświetleniowej (gniazdka, wyłączniki itp.),</w:t>
      </w:r>
    </w:p>
    <w:p w14:paraId="6F074C1A" w14:textId="77777777" w:rsidR="006E2DFB" w:rsidRPr="00862FE5" w:rsidRDefault="00AA110B" w:rsidP="004F7B3F">
      <w:pPr>
        <w:numPr>
          <w:ilvl w:val="0"/>
          <w:numId w:val="11"/>
        </w:numPr>
        <w:spacing w:after="0"/>
        <w:ind w:right="0" w:hanging="286"/>
        <w:rPr>
          <w:rFonts w:ascii="Lato" w:hAnsi="Lato" w:cs="Arial"/>
          <w:color w:val="auto"/>
          <w:sz w:val="20"/>
          <w:szCs w:val="20"/>
        </w:rPr>
      </w:pPr>
      <w:r w:rsidRPr="00862FE5">
        <w:rPr>
          <w:rFonts w:ascii="Lato" w:hAnsi="Lato" w:cs="Arial"/>
          <w:color w:val="auto"/>
          <w:sz w:val="20"/>
          <w:szCs w:val="20"/>
        </w:rPr>
        <w:t>wykonaniu podłoży pod wykładziny podłogowe,</w:t>
      </w:r>
    </w:p>
    <w:p w14:paraId="05FF7DFB" w14:textId="77777777" w:rsidR="006E2DFB" w:rsidRPr="00862FE5" w:rsidRDefault="00AA110B" w:rsidP="004F7B3F">
      <w:pPr>
        <w:numPr>
          <w:ilvl w:val="0"/>
          <w:numId w:val="11"/>
        </w:numPr>
        <w:spacing w:after="0"/>
        <w:ind w:right="0" w:hanging="286"/>
        <w:rPr>
          <w:rFonts w:ascii="Lato" w:hAnsi="Lato" w:cs="Arial"/>
          <w:color w:val="auto"/>
          <w:sz w:val="20"/>
          <w:szCs w:val="20"/>
        </w:rPr>
      </w:pPr>
      <w:r w:rsidRPr="00862FE5">
        <w:rPr>
          <w:rFonts w:ascii="Lato" w:hAnsi="Lato" w:cs="Arial"/>
          <w:color w:val="auto"/>
          <w:sz w:val="20"/>
          <w:szCs w:val="20"/>
        </w:rPr>
        <w:t>ułożeniu podłóg drewnianych, tzw. białych,</w:t>
      </w:r>
    </w:p>
    <w:p w14:paraId="3590B577" w14:textId="77777777" w:rsidR="006E2DFB" w:rsidRPr="00862FE5" w:rsidRDefault="00AA110B" w:rsidP="004F7B3F">
      <w:pPr>
        <w:numPr>
          <w:ilvl w:val="0"/>
          <w:numId w:val="11"/>
        </w:numPr>
        <w:spacing w:after="0"/>
        <w:ind w:right="0" w:hanging="286"/>
        <w:rPr>
          <w:rFonts w:ascii="Lato" w:hAnsi="Lato" w:cs="Arial"/>
          <w:color w:val="auto"/>
          <w:sz w:val="20"/>
          <w:szCs w:val="20"/>
        </w:rPr>
      </w:pPr>
      <w:r w:rsidRPr="00862FE5">
        <w:rPr>
          <w:rFonts w:ascii="Lato" w:hAnsi="Lato" w:cs="Arial"/>
          <w:color w:val="auto"/>
          <w:sz w:val="20"/>
          <w:szCs w:val="20"/>
        </w:rPr>
        <w:t>całkowitym dopasowaniu i wyregulowaniu stolarki, lecz przed oszkleniem okien itp., jeśli stolarka nie została wykończona fabrycznie.</w:t>
      </w:r>
    </w:p>
    <w:p w14:paraId="0B8E6150"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Drugie malowanie można wykonywać po:</w:t>
      </w:r>
    </w:p>
    <w:p w14:paraId="7037EDAF" w14:textId="77777777" w:rsidR="006E2DFB" w:rsidRPr="00862FE5" w:rsidRDefault="00AA110B" w:rsidP="004F7B3F">
      <w:pPr>
        <w:numPr>
          <w:ilvl w:val="0"/>
          <w:numId w:val="11"/>
        </w:numPr>
        <w:spacing w:after="0"/>
        <w:ind w:right="0" w:hanging="286"/>
        <w:rPr>
          <w:rFonts w:ascii="Lato" w:hAnsi="Lato" w:cs="Arial"/>
          <w:color w:val="auto"/>
          <w:sz w:val="20"/>
          <w:szCs w:val="20"/>
        </w:rPr>
      </w:pPr>
      <w:r w:rsidRPr="00862FE5">
        <w:rPr>
          <w:rFonts w:ascii="Lato" w:hAnsi="Lato" w:cs="Arial"/>
          <w:color w:val="auto"/>
          <w:sz w:val="20"/>
          <w:szCs w:val="20"/>
        </w:rPr>
        <w:t>wykonaniu tzw. białego montażu,</w:t>
      </w:r>
    </w:p>
    <w:p w14:paraId="2CA6588C" w14:textId="77777777" w:rsidR="006E2DFB" w:rsidRPr="00862FE5" w:rsidRDefault="00AA110B" w:rsidP="004F7B3F">
      <w:pPr>
        <w:numPr>
          <w:ilvl w:val="0"/>
          <w:numId w:val="11"/>
        </w:numPr>
        <w:spacing w:after="0"/>
        <w:ind w:right="0" w:hanging="286"/>
        <w:rPr>
          <w:rFonts w:ascii="Lato" w:hAnsi="Lato" w:cs="Arial"/>
          <w:color w:val="auto"/>
          <w:sz w:val="20"/>
          <w:szCs w:val="20"/>
        </w:rPr>
      </w:pPr>
      <w:r w:rsidRPr="00862FE5">
        <w:rPr>
          <w:rFonts w:ascii="Lato" w:hAnsi="Lato" w:cs="Arial"/>
          <w:color w:val="auto"/>
          <w:sz w:val="20"/>
          <w:szCs w:val="20"/>
        </w:rPr>
        <w:t>ułożeniu posadzek (z wyjątkiem wykładzin dywanowych i wykładzin z tworzyw sztucznych) z przybiciem listew przyściennych i cokołów,</w:t>
      </w:r>
    </w:p>
    <w:p w14:paraId="049FC403" w14:textId="59D7EF9A" w:rsidR="006E2DFB" w:rsidRPr="00862FE5" w:rsidRDefault="00AA110B" w:rsidP="004F7B3F">
      <w:pPr>
        <w:numPr>
          <w:ilvl w:val="0"/>
          <w:numId w:val="11"/>
        </w:numPr>
        <w:spacing w:after="0"/>
        <w:ind w:right="0" w:hanging="286"/>
        <w:rPr>
          <w:rFonts w:ascii="Lato" w:hAnsi="Lato" w:cs="Arial"/>
          <w:color w:val="auto"/>
          <w:sz w:val="20"/>
          <w:szCs w:val="20"/>
        </w:rPr>
      </w:pPr>
      <w:r w:rsidRPr="00862FE5">
        <w:rPr>
          <w:rFonts w:ascii="Lato" w:hAnsi="Lato" w:cs="Arial"/>
          <w:color w:val="auto"/>
          <w:sz w:val="20"/>
          <w:szCs w:val="20"/>
        </w:rPr>
        <w:t>oszkleniu okien, jeśli nie było to wykonane fabrycznie.</w:t>
      </w:r>
    </w:p>
    <w:p w14:paraId="4C0FD085" w14:textId="77777777" w:rsidR="00537BD9" w:rsidRPr="00862FE5" w:rsidRDefault="00537BD9" w:rsidP="00537BD9">
      <w:pPr>
        <w:spacing w:after="0"/>
        <w:ind w:left="286" w:right="0" w:firstLine="0"/>
        <w:rPr>
          <w:rFonts w:ascii="Lato" w:hAnsi="Lato" w:cs="Arial"/>
          <w:color w:val="auto"/>
          <w:sz w:val="20"/>
          <w:szCs w:val="20"/>
        </w:rPr>
      </w:pPr>
    </w:p>
    <w:p w14:paraId="002F4FB5" w14:textId="29E4A613" w:rsidR="006E2DFB" w:rsidRPr="00862FE5" w:rsidRDefault="00AA110B" w:rsidP="00537BD9">
      <w:pPr>
        <w:pStyle w:val="Akapitzlist"/>
        <w:numPr>
          <w:ilvl w:val="1"/>
          <w:numId w:val="10"/>
        </w:numPr>
        <w:tabs>
          <w:tab w:val="center" w:pos="3021"/>
        </w:tabs>
        <w:spacing w:after="0" w:line="248" w:lineRule="auto"/>
        <w:ind w:right="0" w:hanging="582"/>
        <w:jc w:val="left"/>
        <w:rPr>
          <w:rFonts w:ascii="Lato" w:hAnsi="Lato" w:cs="Arial"/>
          <w:b/>
          <w:bCs/>
          <w:color w:val="auto"/>
          <w:sz w:val="20"/>
          <w:szCs w:val="20"/>
        </w:rPr>
      </w:pPr>
      <w:r w:rsidRPr="00862FE5">
        <w:rPr>
          <w:rFonts w:ascii="Lato" w:hAnsi="Lato" w:cs="Arial"/>
          <w:b/>
          <w:bCs/>
          <w:color w:val="auto"/>
          <w:sz w:val="20"/>
          <w:szCs w:val="20"/>
        </w:rPr>
        <w:t>Wymagania dotyczące podłoży pod malowanie</w:t>
      </w:r>
    </w:p>
    <w:p w14:paraId="3211711A"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5.3.1. Nieotynkowane mury z cegły lub z kamienia</w:t>
      </w:r>
    </w:p>
    <w:p w14:paraId="622CBB93"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xml:space="preserve">Mury ceglane i kamienne pod względem dokładności wykonania powinny odpowiadać wymaganiom podanym w Szczegółowej Specyfikacji Technicznej dla robót murowych. </w:t>
      </w:r>
    </w:p>
    <w:p w14:paraId="6924E96A"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Spoiny muru powinny być całkowicie wypełnione zaprawą, równo z licem muru. Przed malowaniem wszelkie ubytki w murze powinny być uzupełnione.</w:t>
      </w:r>
    </w:p>
    <w:p w14:paraId="481B80BE"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Powierzchnia muru powinna być oczyszczona z zaschniętych grudek zaprawy, wystających poza jej obszar oraz resztek starej powłoki malarskiej.</w:t>
      </w:r>
    </w:p>
    <w:p w14:paraId="6226CED1"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Mur powinien być suchy czyli jego wilgotność, w zależności od rodzaju farby, którą wykonywana będzie powłoka malarska, nie może być większa od podanej w tablicy 1.</w:t>
      </w:r>
    </w:p>
    <w:p w14:paraId="05D900F2"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Tablica 1. Największa dopuszczalna wilgotność podłoży mineralnych przeznaczonych do malowania</w:t>
      </w:r>
    </w:p>
    <w:tbl>
      <w:tblPr>
        <w:tblStyle w:val="TableGrid"/>
        <w:tblW w:w="8906" w:type="dxa"/>
        <w:tblInd w:w="8" w:type="dxa"/>
        <w:tblCellMar>
          <w:top w:w="67" w:type="dxa"/>
          <w:left w:w="67" w:type="dxa"/>
          <w:right w:w="115" w:type="dxa"/>
        </w:tblCellMar>
        <w:tblLook w:val="04A0" w:firstRow="1" w:lastRow="0" w:firstColumn="1" w:lastColumn="0" w:noHBand="0" w:noVBand="1"/>
      </w:tblPr>
      <w:tblGrid>
        <w:gridCol w:w="537"/>
        <w:gridCol w:w="6809"/>
        <w:gridCol w:w="1560"/>
      </w:tblGrid>
      <w:tr w:rsidR="00C12CF0" w:rsidRPr="00862FE5" w14:paraId="5BEE7B6B" w14:textId="77777777">
        <w:trPr>
          <w:trHeight w:val="1120"/>
        </w:trPr>
        <w:tc>
          <w:tcPr>
            <w:tcW w:w="537" w:type="dxa"/>
            <w:tcBorders>
              <w:top w:val="single" w:sz="7" w:space="0" w:color="000000"/>
              <w:left w:val="single" w:sz="7" w:space="0" w:color="000000"/>
              <w:bottom w:val="single" w:sz="7" w:space="0" w:color="000000"/>
              <w:right w:val="single" w:sz="7" w:space="0" w:color="000000"/>
            </w:tcBorders>
            <w:shd w:val="clear" w:color="auto" w:fill="D9D9D9"/>
            <w:vAlign w:val="center"/>
          </w:tcPr>
          <w:p w14:paraId="7105EF4B" w14:textId="77777777" w:rsidR="006E2DFB" w:rsidRPr="00862FE5" w:rsidRDefault="00AA110B" w:rsidP="004F7B3F">
            <w:pPr>
              <w:spacing w:after="0" w:line="259" w:lineRule="auto"/>
              <w:ind w:left="48" w:right="0" w:firstLine="0"/>
              <w:jc w:val="left"/>
              <w:rPr>
                <w:rFonts w:ascii="Lato" w:hAnsi="Lato" w:cs="Arial"/>
                <w:color w:val="auto"/>
                <w:sz w:val="20"/>
                <w:szCs w:val="20"/>
              </w:rPr>
            </w:pPr>
            <w:r w:rsidRPr="00862FE5">
              <w:rPr>
                <w:rFonts w:ascii="Lato" w:hAnsi="Lato" w:cs="Arial"/>
                <w:color w:val="auto"/>
                <w:sz w:val="20"/>
                <w:szCs w:val="20"/>
              </w:rPr>
              <w:t>Lp.</w:t>
            </w:r>
          </w:p>
        </w:tc>
        <w:tc>
          <w:tcPr>
            <w:tcW w:w="6809" w:type="dxa"/>
            <w:tcBorders>
              <w:top w:val="single" w:sz="7" w:space="0" w:color="000000"/>
              <w:left w:val="single" w:sz="7" w:space="0" w:color="000000"/>
              <w:bottom w:val="single" w:sz="7" w:space="0" w:color="000000"/>
              <w:right w:val="single" w:sz="7" w:space="0" w:color="000000"/>
            </w:tcBorders>
            <w:shd w:val="clear" w:color="auto" w:fill="D9D9D9"/>
            <w:vAlign w:val="center"/>
          </w:tcPr>
          <w:p w14:paraId="0BBA16F8" w14:textId="77777777" w:rsidR="006E2DFB" w:rsidRPr="00862FE5" w:rsidRDefault="00AA110B" w:rsidP="004F7B3F">
            <w:pPr>
              <w:spacing w:after="0" w:line="259" w:lineRule="auto"/>
              <w:ind w:left="45" w:right="0" w:firstLine="0"/>
              <w:jc w:val="center"/>
              <w:rPr>
                <w:rFonts w:ascii="Lato" w:hAnsi="Lato" w:cs="Arial"/>
                <w:color w:val="auto"/>
                <w:sz w:val="20"/>
                <w:szCs w:val="20"/>
              </w:rPr>
            </w:pPr>
            <w:r w:rsidRPr="00862FE5">
              <w:rPr>
                <w:rFonts w:ascii="Lato" w:hAnsi="Lato" w:cs="Arial"/>
                <w:color w:val="auto"/>
                <w:sz w:val="20"/>
                <w:szCs w:val="20"/>
              </w:rPr>
              <w:t>Rodzaj farby</w:t>
            </w:r>
          </w:p>
        </w:tc>
        <w:tc>
          <w:tcPr>
            <w:tcW w:w="1560" w:type="dxa"/>
            <w:tcBorders>
              <w:top w:val="single" w:sz="7" w:space="0" w:color="000000"/>
              <w:left w:val="single" w:sz="7" w:space="0" w:color="000000"/>
              <w:bottom w:val="single" w:sz="7" w:space="0" w:color="000000"/>
              <w:right w:val="single" w:sz="7" w:space="0" w:color="000000"/>
            </w:tcBorders>
            <w:shd w:val="clear" w:color="auto" w:fill="D9D9D9"/>
          </w:tcPr>
          <w:p w14:paraId="7D0FF258" w14:textId="77777777" w:rsidR="006E2DFB" w:rsidRPr="00862FE5" w:rsidRDefault="00AA110B" w:rsidP="004F7B3F">
            <w:pPr>
              <w:spacing w:after="0" w:line="220" w:lineRule="auto"/>
              <w:ind w:left="0" w:right="0" w:firstLine="0"/>
              <w:jc w:val="center"/>
              <w:rPr>
                <w:rFonts w:ascii="Lato" w:hAnsi="Lato" w:cs="Arial"/>
                <w:color w:val="auto"/>
                <w:sz w:val="20"/>
                <w:szCs w:val="20"/>
              </w:rPr>
            </w:pPr>
            <w:r w:rsidRPr="00862FE5">
              <w:rPr>
                <w:rFonts w:ascii="Lato" w:hAnsi="Lato" w:cs="Arial"/>
                <w:color w:val="auto"/>
                <w:sz w:val="20"/>
                <w:szCs w:val="20"/>
              </w:rPr>
              <w:t>Największa wilgotność</w:t>
            </w:r>
          </w:p>
          <w:p w14:paraId="67D11A65" w14:textId="77777777" w:rsidR="006E2DFB" w:rsidRPr="00862FE5" w:rsidRDefault="00AA110B" w:rsidP="004F7B3F">
            <w:pPr>
              <w:spacing w:after="0" w:line="259" w:lineRule="auto"/>
              <w:ind w:left="0" w:right="0" w:firstLine="0"/>
              <w:jc w:val="center"/>
              <w:rPr>
                <w:rFonts w:ascii="Lato" w:hAnsi="Lato" w:cs="Arial"/>
                <w:color w:val="auto"/>
                <w:sz w:val="20"/>
                <w:szCs w:val="20"/>
              </w:rPr>
            </w:pPr>
            <w:r w:rsidRPr="00862FE5">
              <w:rPr>
                <w:rFonts w:ascii="Lato" w:hAnsi="Lato" w:cs="Arial"/>
                <w:color w:val="auto"/>
                <w:sz w:val="20"/>
                <w:szCs w:val="20"/>
              </w:rPr>
              <w:t>podłoża, w % masy</w:t>
            </w:r>
          </w:p>
        </w:tc>
      </w:tr>
      <w:tr w:rsidR="00C12CF0" w:rsidRPr="00862FE5" w14:paraId="6585F732" w14:textId="77777777">
        <w:trPr>
          <w:trHeight w:val="382"/>
        </w:trPr>
        <w:tc>
          <w:tcPr>
            <w:tcW w:w="537" w:type="dxa"/>
            <w:tcBorders>
              <w:top w:val="single" w:sz="7" w:space="0" w:color="000000"/>
              <w:left w:val="single" w:sz="7" w:space="0" w:color="000000"/>
              <w:bottom w:val="single" w:sz="7" w:space="0" w:color="000000"/>
              <w:right w:val="single" w:sz="7" w:space="0" w:color="000000"/>
            </w:tcBorders>
          </w:tcPr>
          <w:p w14:paraId="670192D5" w14:textId="77777777" w:rsidR="006E2DFB" w:rsidRPr="00862FE5" w:rsidRDefault="00AA110B" w:rsidP="004F7B3F">
            <w:pPr>
              <w:spacing w:after="0" w:line="259" w:lineRule="auto"/>
              <w:ind w:left="139" w:right="0" w:firstLine="0"/>
              <w:jc w:val="left"/>
              <w:rPr>
                <w:rFonts w:ascii="Lato" w:hAnsi="Lato" w:cs="Arial"/>
                <w:color w:val="auto"/>
                <w:sz w:val="20"/>
                <w:szCs w:val="20"/>
              </w:rPr>
            </w:pPr>
            <w:r w:rsidRPr="00862FE5">
              <w:rPr>
                <w:rFonts w:ascii="Lato" w:hAnsi="Lato" w:cs="Arial"/>
                <w:color w:val="auto"/>
                <w:sz w:val="20"/>
                <w:szCs w:val="20"/>
              </w:rPr>
              <w:t>1</w:t>
            </w:r>
          </w:p>
        </w:tc>
        <w:tc>
          <w:tcPr>
            <w:tcW w:w="6809" w:type="dxa"/>
            <w:tcBorders>
              <w:top w:val="single" w:sz="7" w:space="0" w:color="000000"/>
              <w:left w:val="single" w:sz="7" w:space="0" w:color="000000"/>
              <w:bottom w:val="single" w:sz="7" w:space="0" w:color="000000"/>
              <w:right w:val="single" w:sz="7" w:space="0" w:color="000000"/>
            </w:tcBorders>
          </w:tcPr>
          <w:p w14:paraId="426AE2D9"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Farby dyspersyjne, na spoiwach żywicznych rozcieńczalnych wodą</w:t>
            </w:r>
          </w:p>
        </w:tc>
        <w:tc>
          <w:tcPr>
            <w:tcW w:w="1560" w:type="dxa"/>
            <w:tcBorders>
              <w:top w:val="single" w:sz="7" w:space="0" w:color="000000"/>
              <w:left w:val="single" w:sz="7" w:space="0" w:color="000000"/>
              <w:bottom w:val="single" w:sz="7" w:space="0" w:color="000000"/>
              <w:right w:val="single" w:sz="7" w:space="0" w:color="000000"/>
            </w:tcBorders>
          </w:tcPr>
          <w:p w14:paraId="198D8723" w14:textId="77777777" w:rsidR="006E2DFB" w:rsidRPr="00862FE5" w:rsidRDefault="00AA110B" w:rsidP="004F7B3F">
            <w:pPr>
              <w:spacing w:after="0" w:line="259" w:lineRule="auto"/>
              <w:ind w:left="51" w:right="0" w:firstLine="0"/>
              <w:jc w:val="center"/>
              <w:rPr>
                <w:rFonts w:ascii="Lato" w:hAnsi="Lato" w:cs="Arial"/>
                <w:color w:val="auto"/>
                <w:sz w:val="20"/>
                <w:szCs w:val="20"/>
              </w:rPr>
            </w:pPr>
            <w:r w:rsidRPr="00862FE5">
              <w:rPr>
                <w:rFonts w:ascii="Lato" w:hAnsi="Lato" w:cs="Arial"/>
                <w:color w:val="auto"/>
                <w:sz w:val="20"/>
                <w:szCs w:val="20"/>
              </w:rPr>
              <w:t>4</w:t>
            </w:r>
          </w:p>
        </w:tc>
      </w:tr>
      <w:tr w:rsidR="00C12CF0" w:rsidRPr="00862FE5" w14:paraId="2FF36D2F" w14:textId="77777777">
        <w:trPr>
          <w:trHeight w:val="382"/>
        </w:trPr>
        <w:tc>
          <w:tcPr>
            <w:tcW w:w="537" w:type="dxa"/>
            <w:tcBorders>
              <w:top w:val="single" w:sz="7" w:space="0" w:color="000000"/>
              <w:left w:val="single" w:sz="7" w:space="0" w:color="000000"/>
              <w:bottom w:val="single" w:sz="7" w:space="0" w:color="000000"/>
              <w:right w:val="single" w:sz="7" w:space="0" w:color="000000"/>
            </w:tcBorders>
          </w:tcPr>
          <w:p w14:paraId="5F691CD1" w14:textId="77777777" w:rsidR="006E2DFB" w:rsidRPr="00862FE5" w:rsidRDefault="00AA110B" w:rsidP="004F7B3F">
            <w:pPr>
              <w:spacing w:after="0" w:line="259" w:lineRule="auto"/>
              <w:ind w:left="139" w:right="0" w:firstLine="0"/>
              <w:jc w:val="left"/>
              <w:rPr>
                <w:rFonts w:ascii="Lato" w:hAnsi="Lato" w:cs="Arial"/>
                <w:color w:val="auto"/>
                <w:sz w:val="20"/>
                <w:szCs w:val="20"/>
              </w:rPr>
            </w:pPr>
            <w:r w:rsidRPr="00862FE5">
              <w:rPr>
                <w:rFonts w:ascii="Lato" w:hAnsi="Lato" w:cs="Arial"/>
                <w:color w:val="auto"/>
                <w:sz w:val="20"/>
                <w:szCs w:val="20"/>
              </w:rPr>
              <w:t>2</w:t>
            </w:r>
          </w:p>
        </w:tc>
        <w:tc>
          <w:tcPr>
            <w:tcW w:w="6809" w:type="dxa"/>
            <w:tcBorders>
              <w:top w:val="single" w:sz="7" w:space="0" w:color="000000"/>
              <w:left w:val="single" w:sz="7" w:space="0" w:color="000000"/>
              <w:bottom w:val="single" w:sz="7" w:space="0" w:color="000000"/>
              <w:right w:val="single" w:sz="7" w:space="0" w:color="000000"/>
            </w:tcBorders>
          </w:tcPr>
          <w:p w14:paraId="5E836E18"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Farby na spoiwach żywicznych rozpuszczalnikowych</w:t>
            </w:r>
          </w:p>
        </w:tc>
        <w:tc>
          <w:tcPr>
            <w:tcW w:w="1560" w:type="dxa"/>
            <w:tcBorders>
              <w:top w:val="single" w:sz="7" w:space="0" w:color="000000"/>
              <w:left w:val="single" w:sz="7" w:space="0" w:color="000000"/>
              <w:bottom w:val="single" w:sz="7" w:space="0" w:color="000000"/>
              <w:right w:val="single" w:sz="7" w:space="0" w:color="000000"/>
            </w:tcBorders>
          </w:tcPr>
          <w:p w14:paraId="73236555" w14:textId="77777777" w:rsidR="006E2DFB" w:rsidRPr="00862FE5" w:rsidRDefault="00AA110B" w:rsidP="004F7B3F">
            <w:pPr>
              <w:spacing w:after="0" w:line="259" w:lineRule="auto"/>
              <w:ind w:left="51" w:right="0" w:firstLine="0"/>
              <w:jc w:val="center"/>
              <w:rPr>
                <w:rFonts w:ascii="Lato" w:hAnsi="Lato" w:cs="Arial"/>
                <w:color w:val="auto"/>
                <w:sz w:val="20"/>
                <w:szCs w:val="20"/>
              </w:rPr>
            </w:pPr>
            <w:r w:rsidRPr="00862FE5">
              <w:rPr>
                <w:rFonts w:ascii="Lato" w:hAnsi="Lato" w:cs="Arial"/>
                <w:color w:val="auto"/>
                <w:sz w:val="20"/>
                <w:szCs w:val="20"/>
              </w:rPr>
              <w:t>3</w:t>
            </w:r>
          </w:p>
        </w:tc>
      </w:tr>
      <w:tr w:rsidR="00C12CF0" w:rsidRPr="00862FE5" w14:paraId="303DD89E" w14:textId="77777777">
        <w:trPr>
          <w:trHeight w:val="876"/>
        </w:trPr>
        <w:tc>
          <w:tcPr>
            <w:tcW w:w="537" w:type="dxa"/>
            <w:tcBorders>
              <w:top w:val="single" w:sz="7" w:space="0" w:color="000000"/>
              <w:left w:val="single" w:sz="7" w:space="0" w:color="000000"/>
              <w:bottom w:val="single" w:sz="7" w:space="0" w:color="000000"/>
              <w:right w:val="single" w:sz="7" w:space="0" w:color="000000"/>
            </w:tcBorders>
          </w:tcPr>
          <w:p w14:paraId="28B06EEE" w14:textId="77777777" w:rsidR="006E2DFB" w:rsidRPr="00862FE5" w:rsidRDefault="00AA110B" w:rsidP="004F7B3F">
            <w:pPr>
              <w:spacing w:after="0" w:line="259" w:lineRule="auto"/>
              <w:ind w:left="139" w:right="0" w:firstLine="0"/>
              <w:jc w:val="left"/>
              <w:rPr>
                <w:rFonts w:ascii="Lato" w:hAnsi="Lato" w:cs="Arial"/>
                <w:color w:val="auto"/>
                <w:sz w:val="20"/>
                <w:szCs w:val="20"/>
              </w:rPr>
            </w:pPr>
            <w:r w:rsidRPr="00862FE5">
              <w:rPr>
                <w:rFonts w:ascii="Lato" w:hAnsi="Lato" w:cs="Arial"/>
                <w:color w:val="auto"/>
                <w:sz w:val="20"/>
                <w:szCs w:val="20"/>
              </w:rPr>
              <w:lastRenderedPageBreak/>
              <w:t>3</w:t>
            </w:r>
          </w:p>
        </w:tc>
        <w:tc>
          <w:tcPr>
            <w:tcW w:w="6809" w:type="dxa"/>
            <w:tcBorders>
              <w:top w:val="single" w:sz="7" w:space="0" w:color="000000"/>
              <w:left w:val="single" w:sz="7" w:space="0" w:color="000000"/>
              <w:bottom w:val="single" w:sz="7" w:space="0" w:color="000000"/>
              <w:right w:val="single" w:sz="7" w:space="0" w:color="000000"/>
            </w:tcBorders>
          </w:tcPr>
          <w:p w14:paraId="139C658C" w14:textId="77777777" w:rsidR="006E2DFB" w:rsidRPr="00862FE5" w:rsidRDefault="00AA110B" w:rsidP="004F7B3F">
            <w:pPr>
              <w:spacing w:after="0" w:line="259" w:lineRule="auto"/>
              <w:ind w:left="0" w:right="9" w:firstLine="0"/>
              <w:jc w:val="left"/>
              <w:rPr>
                <w:rFonts w:ascii="Lato" w:hAnsi="Lato" w:cs="Arial"/>
                <w:color w:val="auto"/>
                <w:sz w:val="20"/>
                <w:szCs w:val="20"/>
              </w:rPr>
            </w:pPr>
            <w:r w:rsidRPr="00862FE5">
              <w:rPr>
                <w:rFonts w:ascii="Lato" w:hAnsi="Lato" w:cs="Arial"/>
                <w:color w:val="auto"/>
                <w:sz w:val="20"/>
                <w:szCs w:val="20"/>
              </w:rPr>
              <w:t>Farby na spoiwach mineralnych bez lub z dodatkami modyfikującymi w postaci suchych mieszanek rozcieńczalnych wodą lub w postaci ciekłej</w:t>
            </w:r>
          </w:p>
        </w:tc>
        <w:tc>
          <w:tcPr>
            <w:tcW w:w="1560" w:type="dxa"/>
            <w:tcBorders>
              <w:top w:val="single" w:sz="7" w:space="0" w:color="000000"/>
              <w:left w:val="single" w:sz="7" w:space="0" w:color="000000"/>
              <w:bottom w:val="single" w:sz="7" w:space="0" w:color="000000"/>
              <w:right w:val="single" w:sz="7" w:space="0" w:color="000000"/>
            </w:tcBorders>
          </w:tcPr>
          <w:p w14:paraId="71F07177" w14:textId="77777777" w:rsidR="006E2DFB" w:rsidRPr="00862FE5" w:rsidRDefault="00AA110B" w:rsidP="004F7B3F">
            <w:pPr>
              <w:spacing w:after="0" w:line="259" w:lineRule="auto"/>
              <w:ind w:left="51" w:right="0" w:firstLine="0"/>
              <w:jc w:val="center"/>
              <w:rPr>
                <w:rFonts w:ascii="Lato" w:hAnsi="Lato" w:cs="Arial"/>
                <w:color w:val="auto"/>
                <w:sz w:val="20"/>
                <w:szCs w:val="20"/>
              </w:rPr>
            </w:pPr>
            <w:r w:rsidRPr="00862FE5">
              <w:rPr>
                <w:rFonts w:ascii="Lato" w:hAnsi="Lato" w:cs="Arial"/>
                <w:color w:val="auto"/>
                <w:sz w:val="20"/>
                <w:szCs w:val="20"/>
              </w:rPr>
              <w:t>6</w:t>
            </w:r>
          </w:p>
        </w:tc>
      </w:tr>
      <w:tr w:rsidR="00C12CF0" w:rsidRPr="00862FE5" w14:paraId="72069EFA" w14:textId="77777777">
        <w:trPr>
          <w:trHeight w:val="382"/>
        </w:trPr>
        <w:tc>
          <w:tcPr>
            <w:tcW w:w="537" w:type="dxa"/>
            <w:tcBorders>
              <w:top w:val="single" w:sz="7" w:space="0" w:color="000000"/>
              <w:left w:val="single" w:sz="7" w:space="0" w:color="000000"/>
              <w:bottom w:val="single" w:sz="7" w:space="0" w:color="000000"/>
              <w:right w:val="single" w:sz="7" w:space="0" w:color="000000"/>
            </w:tcBorders>
          </w:tcPr>
          <w:p w14:paraId="4FABFEF0" w14:textId="77777777" w:rsidR="006E2DFB" w:rsidRPr="00862FE5" w:rsidRDefault="00AA110B" w:rsidP="004F7B3F">
            <w:pPr>
              <w:spacing w:after="0" w:line="259" w:lineRule="auto"/>
              <w:ind w:left="139" w:right="0" w:firstLine="0"/>
              <w:jc w:val="left"/>
              <w:rPr>
                <w:rFonts w:ascii="Lato" w:hAnsi="Lato" w:cs="Arial"/>
                <w:color w:val="auto"/>
                <w:sz w:val="20"/>
                <w:szCs w:val="20"/>
              </w:rPr>
            </w:pPr>
            <w:r w:rsidRPr="00862FE5">
              <w:rPr>
                <w:rFonts w:ascii="Lato" w:hAnsi="Lato" w:cs="Arial"/>
                <w:color w:val="auto"/>
                <w:sz w:val="20"/>
                <w:szCs w:val="20"/>
              </w:rPr>
              <w:t>4</w:t>
            </w:r>
          </w:p>
        </w:tc>
        <w:tc>
          <w:tcPr>
            <w:tcW w:w="6809" w:type="dxa"/>
            <w:tcBorders>
              <w:top w:val="single" w:sz="7" w:space="0" w:color="000000"/>
              <w:left w:val="single" w:sz="7" w:space="0" w:color="000000"/>
              <w:bottom w:val="single" w:sz="7" w:space="0" w:color="000000"/>
              <w:right w:val="single" w:sz="7" w:space="0" w:color="000000"/>
            </w:tcBorders>
          </w:tcPr>
          <w:p w14:paraId="1460195A"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Farby na spoiwach mineralno-organicznych</w:t>
            </w:r>
          </w:p>
        </w:tc>
        <w:tc>
          <w:tcPr>
            <w:tcW w:w="1560" w:type="dxa"/>
            <w:tcBorders>
              <w:top w:val="single" w:sz="7" w:space="0" w:color="000000"/>
              <w:left w:val="single" w:sz="7" w:space="0" w:color="000000"/>
              <w:bottom w:val="single" w:sz="7" w:space="0" w:color="000000"/>
              <w:right w:val="single" w:sz="7" w:space="0" w:color="000000"/>
            </w:tcBorders>
          </w:tcPr>
          <w:p w14:paraId="45B95535" w14:textId="77777777" w:rsidR="006E2DFB" w:rsidRPr="00862FE5" w:rsidRDefault="00AA110B" w:rsidP="004F7B3F">
            <w:pPr>
              <w:spacing w:after="0" w:line="259" w:lineRule="auto"/>
              <w:ind w:left="51" w:right="0" w:firstLine="0"/>
              <w:jc w:val="center"/>
              <w:rPr>
                <w:rFonts w:ascii="Lato" w:hAnsi="Lato" w:cs="Arial"/>
                <w:color w:val="auto"/>
                <w:sz w:val="20"/>
                <w:szCs w:val="20"/>
              </w:rPr>
            </w:pPr>
            <w:r w:rsidRPr="00862FE5">
              <w:rPr>
                <w:rFonts w:ascii="Lato" w:hAnsi="Lato" w:cs="Arial"/>
                <w:color w:val="auto"/>
                <w:sz w:val="20"/>
                <w:szCs w:val="20"/>
              </w:rPr>
              <w:t>4</w:t>
            </w:r>
          </w:p>
        </w:tc>
      </w:tr>
    </w:tbl>
    <w:p w14:paraId="030DDD07"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Powierzchnia muru powinna być odkurzona i odtłuszczona.</w:t>
      </w:r>
    </w:p>
    <w:p w14:paraId="45E500ED"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5.3.2. Beton</w:t>
      </w:r>
    </w:p>
    <w:p w14:paraId="7D616474"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Nowe podłoża betonowe lub żelbetowe pod względem dokładności wykonania powinny odpowiadać wymaganiom określonym w szczegółowej specyfikacji technicznej dla robót betonowych i żelbetowych.</w:t>
      </w:r>
    </w:p>
    <w:p w14:paraId="1C57BD9D"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Powierzchnia powinna być oczyszczona z odstających grudek związanego betonu. Wystające lub widoczne elementy metalowe powinny być usunięte lub zabezpieczone farbą antykorozyjną. Uszkodzenia lub rakowate miejsca betonu powinny być naprawione zaprawą cementową lub specjalnymi mieszankami, na które wydano aprobaty techniczne.</w:t>
      </w:r>
    </w:p>
    <w:p w14:paraId="6D11F318"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Wilgotność podłoża betonowego, w zależności od rodzaju farby, którą wykonywana będzie powłoka malarska, nie może przekraczać wartości podanych w tablicy 1. Powierzchnia betonu powinna być odkurzona i odtłuszczona.</w:t>
      </w:r>
    </w:p>
    <w:p w14:paraId="64A7CF5C"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5.3.3. Tynki zwykłe</w:t>
      </w:r>
    </w:p>
    <w:p w14:paraId="14CAEF24" w14:textId="77777777" w:rsidR="006E2DFB" w:rsidRPr="00862FE5" w:rsidRDefault="00AA110B" w:rsidP="004F7B3F">
      <w:pPr>
        <w:numPr>
          <w:ilvl w:val="0"/>
          <w:numId w:val="12"/>
        </w:numPr>
        <w:spacing w:after="0"/>
        <w:ind w:right="0" w:hanging="360"/>
        <w:rPr>
          <w:rFonts w:ascii="Lato" w:hAnsi="Lato" w:cs="Arial"/>
          <w:color w:val="auto"/>
          <w:sz w:val="20"/>
          <w:szCs w:val="20"/>
        </w:rPr>
      </w:pPr>
      <w:r w:rsidRPr="00862FE5">
        <w:rPr>
          <w:rFonts w:ascii="Lato" w:hAnsi="Lato" w:cs="Arial"/>
          <w:color w:val="auto"/>
          <w:sz w:val="20"/>
          <w:szCs w:val="20"/>
        </w:rPr>
        <w:t>Nowe niemalowane tynki powinny odpowiadać wymaganiom określonym w Szczegółowej Specyfikacji Technicznej dla robót tynkowych. Wszelkie uszkodzenia tynków powinny być usunięte przez wypełnienie odpowiednią zaprawą i zatarte do równej powierzchni.</w:t>
      </w:r>
    </w:p>
    <w:p w14:paraId="4844EF13" w14:textId="77777777" w:rsidR="006E2DFB" w:rsidRPr="00862FE5" w:rsidRDefault="00AA110B" w:rsidP="004F7B3F">
      <w:pPr>
        <w:spacing w:after="0"/>
        <w:ind w:left="370" w:right="0"/>
        <w:rPr>
          <w:rFonts w:ascii="Lato" w:hAnsi="Lato" w:cs="Arial"/>
          <w:color w:val="auto"/>
          <w:sz w:val="20"/>
          <w:szCs w:val="20"/>
        </w:rPr>
      </w:pPr>
      <w:r w:rsidRPr="00862FE5">
        <w:rPr>
          <w:rFonts w:ascii="Lato" w:hAnsi="Lato" w:cs="Arial"/>
          <w:color w:val="auto"/>
          <w:sz w:val="20"/>
          <w:szCs w:val="20"/>
        </w:rPr>
        <w:t xml:space="preserve">Powierzchnia tynków powinna być pozbawiona zanieczyszczeń (np. kurzu, rdzy, tłuszczu, wykwitów solnych). </w:t>
      </w:r>
    </w:p>
    <w:p w14:paraId="1794922F" w14:textId="77777777" w:rsidR="006E2DFB" w:rsidRPr="00862FE5" w:rsidRDefault="00AA110B" w:rsidP="004F7B3F">
      <w:pPr>
        <w:numPr>
          <w:ilvl w:val="0"/>
          <w:numId w:val="12"/>
        </w:numPr>
        <w:spacing w:after="0"/>
        <w:ind w:right="0" w:hanging="360"/>
        <w:rPr>
          <w:rFonts w:ascii="Lato" w:hAnsi="Lato" w:cs="Arial"/>
          <w:color w:val="auto"/>
          <w:sz w:val="20"/>
          <w:szCs w:val="20"/>
        </w:rPr>
      </w:pPr>
      <w:r w:rsidRPr="00862FE5">
        <w:rPr>
          <w:rFonts w:ascii="Lato" w:hAnsi="Lato" w:cs="Arial"/>
          <w:color w:val="auto"/>
          <w:sz w:val="20"/>
          <w:szCs w:val="20"/>
        </w:rPr>
        <w:t>Tynki malowane uprzednio farbami powinny być oczyszczone ze starej farby i wszelkich wykwitów oraz odkurzone i umyte wodą. Po umyciu powierzchnia tynków nie powinna wykazywać śladów starej farby ani pyłu po starej powłoce malarskiej. Uszkodzenia tynków należy naprawić odpowiednią zaprawą, zalecaną przez producenta wyrobów malarskich.</w:t>
      </w:r>
    </w:p>
    <w:p w14:paraId="39B8C63A" w14:textId="77777777" w:rsidR="006E2DFB" w:rsidRPr="00862FE5" w:rsidRDefault="00AA110B" w:rsidP="004F7B3F">
      <w:pPr>
        <w:numPr>
          <w:ilvl w:val="0"/>
          <w:numId w:val="12"/>
        </w:numPr>
        <w:spacing w:after="0"/>
        <w:ind w:right="0" w:hanging="360"/>
        <w:rPr>
          <w:rFonts w:ascii="Lato" w:hAnsi="Lato" w:cs="Arial"/>
          <w:color w:val="auto"/>
          <w:sz w:val="20"/>
          <w:szCs w:val="20"/>
        </w:rPr>
      </w:pPr>
      <w:r w:rsidRPr="00862FE5">
        <w:rPr>
          <w:rFonts w:ascii="Lato" w:hAnsi="Lato" w:cs="Arial"/>
          <w:color w:val="auto"/>
          <w:sz w:val="20"/>
          <w:szCs w:val="20"/>
        </w:rPr>
        <w:t>Wilgotność powierzchni tynków (malowanych jak i niemalowanych) nie powinna przekraczać wartości podanych w tablicy 1.</w:t>
      </w:r>
    </w:p>
    <w:p w14:paraId="00997EE8" w14:textId="77777777" w:rsidR="006E2DFB" w:rsidRPr="00862FE5" w:rsidRDefault="00AA110B" w:rsidP="004F7B3F">
      <w:pPr>
        <w:numPr>
          <w:ilvl w:val="0"/>
          <w:numId w:val="12"/>
        </w:numPr>
        <w:spacing w:after="0"/>
        <w:ind w:right="0" w:hanging="360"/>
        <w:rPr>
          <w:rFonts w:ascii="Lato" w:hAnsi="Lato" w:cs="Arial"/>
          <w:color w:val="auto"/>
          <w:sz w:val="20"/>
          <w:szCs w:val="20"/>
        </w:rPr>
      </w:pPr>
      <w:r w:rsidRPr="00862FE5">
        <w:rPr>
          <w:rFonts w:ascii="Lato" w:hAnsi="Lato" w:cs="Arial"/>
          <w:color w:val="auto"/>
          <w:sz w:val="20"/>
          <w:szCs w:val="20"/>
        </w:rPr>
        <w:t>Wystające lub widoczne nieusuwalne elementy metalowe powinny być zabezpieczone antykorozyjnie.</w:t>
      </w:r>
    </w:p>
    <w:p w14:paraId="1BA649F9"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5.3.4. Tynki pocienione powinny spełniać takie same wymagania jak tynki zwykłe.</w:t>
      </w:r>
    </w:p>
    <w:p w14:paraId="55709812"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5.3.5. Podłoża z drewna, materiałów drewnopochodnych powinny być niezmurszałe o wilgotności nie większej niż 12%, bez zepsutych lub wypadających sęków i zacieków żywicznych. Powierzchnia powinna być odkurzona i oczyszczona z plam tłuszczu, żywicy, starej farby i innych zanieczyszczeń. Ewentualne uszkodzenia powinny być naprawione szpachlówką, na którą wydano aprobatę techniczną.</w:t>
      </w:r>
    </w:p>
    <w:p w14:paraId="5B86BBDF"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5.3.6. Podłoża z płyt gipsowo-kartonowych powinny być odkurzone, bez plam tłuszczu i oczyszczone ze starej farby. Wkręty mocujące oraz styki płyt powinny być zaszpachlowane. Uszkodzone fragmenty płyt powinny być naprawione masą szpachlową, na którą wydana jest aprobata techniczna.</w:t>
      </w:r>
    </w:p>
    <w:p w14:paraId="5AE24D8D"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5.3.7. Podłoża z płyt włóknisto-mineralnych powinny mieć wilgotność nie większą niż 4% oraz powierzchnię dokładnie odkurzoną, bez plam tłuszczu, wykwitów, rdzy i innych zanieczyszczeń. Wkręty mocujące nie powinny wystawać poza lico płyty, a ich główki powinny być zabezpieczone antykorozyjnie.</w:t>
      </w:r>
    </w:p>
    <w:p w14:paraId="36C5F782"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5.3.8. Elementy metalowe przed malowaniem powinny być oczyszczone ze zgorzeliny, rdzy, pozostałości zaprawy, gipsu oraz odkurzone i odtłuszczone.</w:t>
      </w:r>
    </w:p>
    <w:p w14:paraId="63B51589" w14:textId="77777777" w:rsidR="006E2DFB" w:rsidRPr="00862FE5" w:rsidRDefault="00AA110B" w:rsidP="004F7B3F">
      <w:pPr>
        <w:spacing w:after="0" w:line="248" w:lineRule="auto"/>
        <w:ind w:left="-5" w:right="3848"/>
        <w:jc w:val="left"/>
        <w:rPr>
          <w:rFonts w:ascii="Lato" w:hAnsi="Lato" w:cs="Arial"/>
          <w:color w:val="auto"/>
          <w:sz w:val="20"/>
          <w:szCs w:val="20"/>
        </w:rPr>
      </w:pPr>
      <w:r w:rsidRPr="00862FE5">
        <w:rPr>
          <w:rFonts w:ascii="Lato" w:hAnsi="Lato" w:cs="Arial"/>
          <w:color w:val="auto"/>
          <w:sz w:val="20"/>
          <w:szCs w:val="20"/>
        </w:rPr>
        <w:t>5.4. Warunki prowadzenia robót malarskich 5.4.1. Warunki ogólne prowadzenia robót malarskich Roboty malarskie powinny być prowadzone:</w:t>
      </w:r>
    </w:p>
    <w:p w14:paraId="35080468" w14:textId="4F319996" w:rsidR="006E2DFB" w:rsidRPr="00862FE5" w:rsidRDefault="00AA110B" w:rsidP="004F7B3F">
      <w:pPr>
        <w:numPr>
          <w:ilvl w:val="0"/>
          <w:numId w:val="13"/>
        </w:numPr>
        <w:spacing w:after="0"/>
        <w:ind w:right="0" w:hanging="286"/>
        <w:rPr>
          <w:rFonts w:ascii="Lato" w:hAnsi="Lato" w:cs="Arial"/>
          <w:color w:val="auto"/>
          <w:sz w:val="20"/>
          <w:szCs w:val="20"/>
        </w:rPr>
      </w:pPr>
      <w:r w:rsidRPr="00862FE5">
        <w:rPr>
          <w:rFonts w:ascii="Lato" w:hAnsi="Lato" w:cs="Arial"/>
          <w:color w:val="auto"/>
          <w:sz w:val="20"/>
          <w:szCs w:val="20"/>
        </w:rPr>
        <w:t>przy pogodzie bezwietrznej i bez opadów atmosferycznych (w przypadku robót malarskich</w:t>
      </w:r>
      <w:r w:rsidR="00BC0788" w:rsidRPr="00862FE5">
        <w:rPr>
          <w:rFonts w:ascii="Lato" w:hAnsi="Lato" w:cs="Arial"/>
          <w:color w:val="auto"/>
          <w:sz w:val="20"/>
          <w:szCs w:val="20"/>
        </w:rPr>
        <w:t xml:space="preserve"> </w:t>
      </w:r>
      <w:r w:rsidRPr="00862FE5">
        <w:rPr>
          <w:rFonts w:ascii="Lato" w:hAnsi="Lato" w:cs="Arial"/>
          <w:color w:val="auto"/>
          <w:sz w:val="20"/>
          <w:szCs w:val="20"/>
        </w:rPr>
        <w:t>zewnętrznych),</w:t>
      </w:r>
    </w:p>
    <w:p w14:paraId="0F9DE93E" w14:textId="3CDDE0CA" w:rsidR="006E2DFB" w:rsidRPr="00862FE5" w:rsidRDefault="00AA110B" w:rsidP="004F7B3F">
      <w:pPr>
        <w:numPr>
          <w:ilvl w:val="0"/>
          <w:numId w:val="13"/>
        </w:numPr>
        <w:spacing w:after="0"/>
        <w:ind w:right="0" w:hanging="286"/>
        <w:rPr>
          <w:rFonts w:ascii="Lato" w:hAnsi="Lato" w:cs="Arial"/>
          <w:color w:val="auto"/>
          <w:sz w:val="20"/>
          <w:szCs w:val="20"/>
        </w:rPr>
      </w:pPr>
      <w:r w:rsidRPr="00862FE5">
        <w:rPr>
          <w:rFonts w:ascii="Lato" w:hAnsi="Lato" w:cs="Arial"/>
          <w:color w:val="auto"/>
          <w:sz w:val="20"/>
          <w:szCs w:val="20"/>
        </w:rPr>
        <w:t>w temperaturze nie niższej niż +5°C, z dodatkowym zastrzeżeniem, że w ciągu doby nie</w:t>
      </w:r>
      <w:r w:rsidR="00BC0788" w:rsidRPr="00862FE5">
        <w:rPr>
          <w:rFonts w:ascii="Lato" w:hAnsi="Lato" w:cs="Arial"/>
          <w:color w:val="auto"/>
          <w:sz w:val="20"/>
          <w:szCs w:val="20"/>
        </w:rPr>
        <w:t xml:space="preserve"> </w:t>
      </w:r>
      <w:r w:rsidRPr="00862FE5">
        <w:rPr>
          <w:rFonts w:ascii="Lato" w:hAnsi="Lato" w:cs="Arial"/>
          <w:color w:val="auto"/>
          <w:sz w:val="20"/>
          <w:szCs w:val="20"/>
        </w:rPr>
        <w:t>nastąpi spadek temperatury poniżej 0°C,</w:t>
      </w:r>
    </w:p>
    <w:p w14:paraId="3809B2BC" w14:textId="2705824C" w:rsidR="006E2DFB" w:rsidRPr="00862FE5" w:rsidRDefault="00AA110B" w:rsidP="004F7B3F">
      <w:pPr>
        <w:numPr>
          <w:ilvl w:val="0"/>
          <w:numId w:val="13"/>
        </w:numPr>
        <w:spacing w:after="0"/>
        <w:ind w:right="0" w:hanging="286"/>
        <w:rPr>
          <w:rFonts w:ascii="Lato" w:hAnsi="Lato" w:cs="Arial"/>
          <w:color w:val="auto"/>
          <w:sz w:val="20"/>
          <w:szCs w:val="20"/>
        </w:rPr>
      </w:pPr>
      <w:r w:rsidRPr="00862FE5">
        <w:rPr>
          <w:rFonts w:ascii="Lato" w:hAnsi="Lato" w:cs="Arial"/>
          <w:color w:val="auto"/>
          <w:sz w:val="20"/>
          <w:szCs w:val="20"/>
        </w:rPr>
        <w:t>w temperaturze nie wyższej niż 25°C, z dodatkowym zastrzeżeniem, by temperatura podłoża</w:t>
      </w:r>
      <w:r w:rsidR="00BC0788" w:rsidRPr="00862FE5">
        <w:rPr>
          <w:rFonts w:ascii="Lato" w:hAnsi="Lato" w:cs="Arial"/>
          <w:color w:val="auto"/>
          <w:sz w:val="20"/>
          <w:szCs w:val="20"/>
        </w:rPr>
        <w:t xml:space="preserve"> </w:t>
      </w:r>
      <w:r w:rsidRPr="00862FE5">
        <w:rPr>
          <w:rFonts w:ascii="Lato" w:hAnsi="Lato" w:cs="Arial"/>
          <w:color w:val="auto"/>
          <w:sz w:val="20"/>
          <w:szCs w:val="20"/>
        </w:rPr>
        <w:t>nie przewyższyła 20°C (np. w miejscach bardzo nasłonecznionych).</w:t>
      </w:r>
    </w:p>
    <w:p w14:paraId="671AAD83"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 przypadku wystąpienia opadów w trakcie prowadzenia robót malarskich powierzchnie świeżo pomalowane (nie wyschnięte) należy osłonić.</w:t>
      </w:r>
    </w:p>
    <w:p w14:paraId="057F64EB"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Roboty malarskie można rozpocząć, jeżeli wilgotność podłoży przewidzianych pod malowanie nie przekracza odpowiednich wartości podanych w pkt. 5.3.</w:t>
      </w:r>
    </w:p>
    <w:p w14:paraId="034F352F"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Prace malarskie na elementach metalowych można prowadzić przy wilgotności względnej powietrza nie większej niż 80%.</w:t>
      </w:r>
    </w:p>
    <w:p w14:paraId="10B80D31"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Przy wykonywaniu prac malarskich w pomieszczeniach zamkniętych należy zapewnić odpowiednią wentylację.</w:t>
      </w:r>
    </w:p>
    <w:p w14:paraId="7FDEBE5B"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 xml:space="preserve">Roboty malarskie farbami, emaliami lub lakierami rozpuszczalnikowymi należy prowadzić z daleka od otwartych źródeł ognia, narzędzi oraz silników powodujących iskrzenie i mogących być źródłem pożaru. </w:t>
      </w:r>
    </w:p>
    <w:p w14:paraId="1F39AAB0"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lastRenderedPageBreak/>
        <w:t>Elementy, które w czasie robót malarskich mogą ulec uszkodzeniu lub zanieczyszczeniu, należy zabezpieczyć i osłonić przez zabrudzeniem farbami.</w:t>
      </w:r>
    </w:p>
    <w:p w14:paraId="0255DEB5"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5.4.2. Wykonanie robót malarskich zewnętrznych</w:t>
      </w:r>
    </w:p>
    <w:p w14:paraId="334D8525"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Roboty malarskie na zewnątrz obiektów budowlanych można rozpocząć, kiedy podłoża spełniają wymagania podane w pkt. 5.3., a warunki prowadzenia robót wymagania określone w pkt. 5.4.1.</w:t>
      </w:r>
    </w:p>
    <w:p w14:paraId="3FF9A98C"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Prace malarskie należy prowadzić zgodnie z instrukcją producenta farby, która powinna zawierać:</w:t>
      </w:r>
    </w:p>
    <w:p w14:paraId="67EA26D0" w14:textId="77777777" w:rsidR="006E2DFB" w:rsidRPr="00862FE5" w:rsidRDefault="00AA110B" w:rsidP="004F7B3F">
      <w:pPr>
        <w:numPr>
          <w:ilvl w:val="0"/>
          <w:numId w:val="14"/>
        </w:numPr>
        <w:spacing w:after="0"/>
        <w:ind w:right="0" w:hanging="286"/>
        <w:rPr>
          <w:rFonts w:ascii="Lato" w:hAnsi="Lato" w:cs="Arial"/>
          <w:color w:val="auto"/>
          <w:sz w:val="20"/>
          <w:szCs w:val="20"/>
        </w:rPr>
      </w:pPr>
      <w:r w:rsidRPr="00862FE5">
        <w:rPr>
          <w:rFonts w:ascii="Lato" w:hAnsi="Lato" w:cs="Arial"/>
          <w:color w:val="auto"/>
          <w:sz w:val="20"/>
          <w:szCs w:val="20"/>
        </w:rPr>
        <w:t>informacje o ewentualnym środku gruntującym i o przypadkach, kiedy należy go stosować,</w:t>
      </w:r>
    </w:p>
    <w:p w14:paraId="1CDFFA4B" w14:textId="77777777" w:rsidR="006E2DFB" w:rsidRPr="00862FE5" w:rsidRDefault="00AA110B" w:rsidP="004F7B3F">
      <w:pPr>
        <w:numPr>
          <w:ilvl w:val="0"/>
          <w:numId w:val="14"/>
        </w:numPr>
        <w:spacing w:after="0"/>
        <w:ind w:right="0" w:hanging="286"/>
        <w:rPr>
          <w:rFonts w:ascii="Lato" w:hAnsi="Lato" w:cs="Arial"/>
          <w:color w:val="auto"/>
          <w:sz w:val="20"/>
          <w:szCs w:val="20"/>
        </w:rPr>
      </w:pPr>
      <w:r w:rsidRPr="00862FE5">
        <w:rPr>
          <w:rFonts w:ascii="Lato" w:hAnsi="Lato" w:cs="Arial"/>
          <w:color w:val="auto"/>
          <w:sz w:val="20"/>
          <w:szCs w:val="20"/>
        </w:rPr>
        <w:t>sposób przygotowania farby do malowania,</w:t>
      </w:r>
    </w:p>
    <w:p w14:paraId="5791C4F8" w14:textId="77777777" w:rsidR="006E2DFB" w:rsidRPr="00862FE5" w:rsidRDefault="00AA110B" w:rsidP="004F7B3F">
      <w:pPr>
        <w:numPr>
          <w:ilvl w:val="0"/>
          <w:numId w:val="14"/>
        </w:numPr>
        <w:spacing w:after="0"/>
        <w:ind w:right="0" w:hanging="286"/>
        <w:rPr>
          <w:rFonts w:ascii="Lato" w:hAnsi="Lato" w:cs="Arial"/>
          <w:color w:val="auto"/>
          <w:sz w:val="20"/>
          <w:szCs w:val="20"/>
        </w:rPr>
      </w:pPr>
      <w:r w:rsidRPr="00862FE5">
        <w:rPr>
          <w:rFonts w:ascii="Lato" w:hAnsi="Lato" w:cs="Arial"/>
          <w:color w:val="auto"/>
          <w:sz w:val="20"/>
          <w:szCs w:val="20"/>
        </w:rPr>
        <w:t>sposób nakładania farby, w tym informacje o narzędziach (np. pędzle, wałki, agregaty malarskie),</w:t>
      </w:r>
    </w:p>
    <w:p w14:paraId="0E3E4101" w14:textId="77777777" w:rsidR="006E2DFB" w:rsidRPr="00862FE5" w:rsidRDefault="00AA110B" w:rsidP="004F7B3F">
      <w:pPr>
        <w:numPr>
          <w:ilvl w:val="0"/>
          <w:numId w:val="14"/>
        </w:numPr>
        <w:spacing w:after="0"/>
        <w:ind w:right="0" w:hanging="286"/>
        <w:rPr>
          <w:rFonts w:ascii="Lato" w:hAnsi="Lato" w:cs="Arial"/>
          <w:color w:val="auto"/>
          <w:sz w:val="20"/>
          <w:szCs w:val="20"/>
        </w:rPr>
      </w:pPr>
      <w:r w:rsidRPr="00862FE5">
        <w:rPr>
          <w:rFonts w:ascii="Lato" w:hAnsi="Lato" w:cs="Arial"/>
          <w:color w:val="auto"/>
          <w:sz w:val="20"/>
          <w:szCs w:val="20"/>
        </w:rPr>
        <w:t>krotność nakładania farby oraz jej zużycie na 1 m</w:t>
      </w:r>
      <w:r w:rsidRPr="00862FE5">
        <w:rPr>
          <w:rFonts w:ascii="Lato" w:hAnsi="Lato" w:cs="Arial"/>
          <w:color w:val="auto"/>
          <w:sz w:val="20"/>
          <w:szCs w:val="20"/>
          <w:vertAlign w:val="superscript"/>
        </w:rPr>
        <w:t>2</w:t>
      </w:r>
      <w:r w:rsidRPr="00862FE5">
        <w:rPr>
          <w:rFonts w:ascii="Lato" w:hAnsi="Lato" w:cs="Arial"/>
          <w:color w:val="auto"/>
          <w:sz w:val="20"/>
          <w:szCs w:val="20"/>
        </w:rPr>
        <w:t>,</w:t>
      </w:r>
    </w:p>
    <w:p w14:paraId="05506DDA" w14:textId="77777777" w:rsidR="006E2DFB" w:rsidRPr="00862FE5" w:rsidRDefault="00AA110B" w:rsidP="004F7B3F">
      <w:pPr>
        <w:numPr>
          <w:ilvl w:val="0"/>
          <w:numId w:val="14"/>
        </w:numPr>
        <w:spacing w:after="0" w:line="228" w:lineRule="auto"/>
        <w:ind w:right="0" w:hanging="286"/>
        <w:rPr>
          <w:rFonts w:ascii="Lato" w:hAnsi="Lato" w:cs="Arial"/>
          <w:color w:val="auto"/>
          <w:sz w:val="20"/>
          <w:szCs w:val="20"/>
        </w:rPr>
      </w:pPr>
      <w:r w:rsidRPr="00862FE5">
        <w:rPr>
          <w:rFonts w:ascii="Lato" w:hAnsi="Lato" w:cs="Arial"/>
          <w:color w:val="auto"/>
          <w:sz w:val="20"/>
          <w:szCs w:val="20"/>
        </w:rPr>
        <w:t>czas między nakładaniem kolejnych warstw, •</w:t>
      </w:r>
      <w:r w:rsidRPr="00862FE5">
        <w:rPr>
          <w:rFonts w:ascii="Lato" w:hAnsi="Lato" w:cs="Arial"/>
          <w:color w:val="auto"/>
          <w:sz w:val="20"/>
          <w:szCs w:val="20"/>
        </w:rPr>
        <w:tab/>
        <w:t>zalecenia odnośnie mycia narzędzi, •</w:t>
      </w:r>
      <w:r w:rsidRPr="00862FE5">
        <w:rPr>
          <w:rFonts w:ascii="Lato" w:hAnsi="Lato" w:cs="Arial"/>
          <w:color w:val="auto"/>
          <w:sz w:val="20"/>
          <w:szCs w:val="20"/>
        </w:rPr>
        <w:tab/>
        <w:t>zalecenia w zakresie bhp.</w:t>
      </w:r>
    </w:p>
    <w:p w14:paraId="7992F74B"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5.4.3. Wykonanie robót malarskich wewnętrznych</w:t>
      </w:r>
    </w:p>
    <w:p w14:paraId="1625F3CE"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Wewnętrzne roboty malarskie można rozpocząć, kiedy podłoża spełniają wymagania podane w pkt. 5.3., a warunki prowadzenia robót wymagania określone w pkt. 5.4.1.</w:t>
      </w:r>
    </w:p>
    <w:p w14:paraId="4906ED8B" w14:textId="066347B9"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Prace malarskie należy prowadzić zgodnie z instrukcją producenta farb, zawierającą informacje wymienione w pkt. 5.4.2.</w:t>
      </w:r>
    </w:p>
    <w:p w14:paraId="29C34552" w14:textId="43472EB5" w:rsidR="00537BD9" w:rsidRPr="00862FE5" w:rsidRDefault="00537BD9" w:rsidP="004F7B3F">
      <w:pPr>
        <w:spacing w:after="0"/>
        <w:ind w:left="-15" w:right="0" w:firstLine="286"/>
        <w:rPr>
          <w:rFonts w:ascii="Lato" w:hAnsi="Lato" w:cs="Arial"/>
          <w:color w:val="auto"/>
          <w:sz w:val="20"/>
          <w:szCs w:val="20"/>
        </w:rPr>
      </w:pPr>
    </w:p>
    <w:p w14:paraId="1CD7C061" w14:textId="1BFC0EED" w:rsidR="00537BD9" w:rsidRPr="00862FE5" w:rsidRDefault="00537BD9" w:rsidP="004F7B3F">
      <w:pPr>
        <w:spacing w:after="0"/>
        <w:ind w:left="-15" w:right="0" w:firstLine="286"/>
        <w:rPr>
          <w:rFonts w:ascii="Lato" w:hAnsi="Lato" w:cs="Arial"/>
          <w:color w:val="auto"/>
          <w:sz w:val="20"/>
          <w:szCs w:val="20"/>
        </w:rPr>
      </w:pPr>
    </w:p>
    <w:p w14:paraId="2FD54ABA" w14:textId="24A096FE" w:rsidR="00537BD9" w:rsidRPr="00862FE5" w:rsidRDefault="00537BD9" w:rsidP="004F7B3F">
      <w:pPr>
        <w:spacing w:after="0"/>
        <w:ind w:left="-15" w:right="0" w:firstLine="286"/>
        <w:rPr>
          <w:rFonts w:ascii="Lato" w:hAnsi="Lato" w:cs="Arial"/>
          <w:color w:val="auto"/>
          <w:sz w:val="20"/>
          <w:szCs w:val="20"/>
        </w:rPr>
      </w:pPr>
    </w:p>
    <w:p w14:paraId="3FCD4472" w14:textId="77777777" w:rsidR="00537BD9" w:rsidRPr="00862FE5" w:rsidRDefault="00537BD9" w:rsidP="004F7B3F">
      <w:pPr>
        <w:spacing w:after="0"/>
        <w:ind w:left="-15" w:right="0" w:firstLine="286"/>
        <w:rPr>
          <w:rFonts w:ascii="Lato" w:hAnsi="Lato" w:cs="Arial"/>
          <w:color w:val="auto"/>
          <w:sz w:val="20"/>
          <w:szCs w:val="20"/>
        </w:rPr>
      </w:pPr>
    </w:p>
    <w:p w14:paraId="68412CBA" w14:textId="77777777" w:rsidR="00537BD9" w:rsidRPr="00862FE5" w:rsidRDefault="00537BD9" w:rsidP="004F7B3F">
      <w:pPr>
        <w:spacing w:after="0"/>
        <w:ind w:left="-15" w:right="0" w:firstLine="286"/>
        <w:rPr>
          <w:rFonts w:ascii="Lato" w:hAnsi="Lato" w:cs="Arial"/>
          <w:color w:val="auto"/>
          <w:sz w:val="20"/>
          <w:szCs w:val="20"/>
        </w:rPr>
      </w:pPr>
    </w:p>
    <w:p w14:paraId="29D3C0D1" w14:textId="71A53A70" w:rsidR="006E2DFB" w:rsidRPr="00862FE5" w:rsidRDefault="00AA110B" w:rsidP="00537BD9">
      <w:pPr>
        <w:pStyle w:val="Akapitzlist"/>
        <w:numPr>
          <w:ilvl w:val="1"/>
          <w:numId w:val="32"/>
        </w:numPr>
        <w:tabs>
          <w:tab w:val="center" w:pos="2766"/>
        </w:tabs>
        <w:spacing w:after="0" w:line="248" w:lineRule="auto"/>
        <w:ind w:right="0" w:hanging="582"/>
        <w:jc w:val="left"/>
        <w:rPr>
          <w:rFonts w:ascii="Lato" w:hAnsi="Lato" w:cs="Arial"/>
          <w:b/>
          <w:bCs/>
          <w:color w:val="auto"/>
          <w:sz w:val="20"/>
          <w:szCs w:val="20"/>
        </w:rPr>
      </w:pPr>
      <w:r w:rsidRPr="00862FE5">
        <w:rPr>
          <w:rFonts w:ascii="Lato" w:hAnsi="Lato" w:cs="Arial"/>
          <w:b/>
          <w:bCs/>
          <w:color w:val="auto"/>
          <w:sz w:val="20"/>
          <w:szCs w:val="20"/>
        </w:rPr>
        <w:t>Wymagania dotyczące powłok malarskich</w:t>
      </w:r>
    </w:p>
    <w:p w14:paraId="3B98EB2A" w14:textId="77777777" w:rsidR="006E2DFB" w:rsidRPr="00862FE5" w:rsidRDefault="00AA110B" w:rsidP="004F7B3F">
      <w:pPr>
        <w:spacing w:after="0" w:line="248" w:lineRule="auto"/>
        <w:ind w:left="-5" w:right="2091"/>
        <w:jc w:val="left"/>
        <w:rPr>
          <w:rFonts w:ascii="Lato" w:hAnsi="Lato" w:cs="Arial"/>
          <w:color w:val="auto"/>
          <w:sz w:val="20"/>
          <w:szCs w:val="20"/>
        </w:rPr>
      </w:pPr>
      <w:r w:rsidRPr="00862FE5">
        <w:rPr>
          <w:rFonts w:ascii="Lato" w:hAnsi="Lato" w:cs="Arial"/>
          <w:color w:val="auto"/>
          <w:sz w:val="20"/>
          <w:szCs w:val="20"/>
        </w:rPr>
        <w:t>5.5.1. Wymagania w stosunku do powłok z farb dyspersyjnych Powłoki z farb dyspersyjnych powinny być:</w:t>
      </w:r>
    </w:p>
    <w:p w14:paraId="748290E8" w14:textId="64C0B020" w:rsidR="006E2DFB" w:rsidRPr="00862FE5" w:rsidRDefault="00AA110B" w:rsidP="004F7B3F">
      <w:pPr>
        <w:numPr>
          <w:ilvl w:val="0"/>
          <w:numId w:val="15"/>
        </w:numPr>
        <w:spacing w:after="0"/>
        <w:ind w:right="0" w:hanging="286"/>
        <w:rPr>
          <w:rFonts w:ascii="Lato" w:hAnsi="Lato" w:cs="Arial"/>
          <w:color w:val="auto"/>
          <w:sz w:val="20"/>
          <w:szCs w:val="20"/>
        </w:rPr>
      </w:pPr>
      <w:r w:rsidRPr="00862FE5">
        <w:rPr>
          <w:rFonts w:ascii="Lato" w:hAnsi="Lato" w:cs="Arial"/>
          <w:color w:val="auto"/>
          <w:sz w:val="20"/>
          <w:szCs w:val="20"/>
        </w:rPr>
        <w:t>niezmywalne przy stosowaniu środków myjących i dezynfekujących, odporne na tarcie na</w:t>
      </w:r>
      <w:r w:rsidR="00BC0788" w:rsidRPr="00862FE5">
        <w:rPr>
          <w:rFonts w:ascii="Lato" w:hAnsi="Lato" w:cs="Arial"/>
          <w:color w:val="auto"/>
          <w:sz w:val="20"/>
          <w:szCs w:val="20"/>
        </w:rPr>
        <w:t xml:space="preserve"> </w:t>
      </w:r>
      <w:r w:rsidRPr="00862FE5">
        <w:rPr>
          <w:rFonts w:ascii="Lato" w:hAnsi="Lato" w:cs="Arial"/>
          <w:color w:val="auto"/>
          <w:sz w:val="20"/>
          <w:szCs w:val="20"/>
        </w:rPr>
        <w:t>sucho i na szorowanie oraz na reemulgację,</w:t>
      </w:r>
    </w:p>
    <w:p w14:paraId="4FFE0EA3" w14:textId="77777777" w:rsidR="006E2DFB" w:rsidRPr="00862FE5" w:rsidRDefault="00AA110B" w:rsidP="004F7B3F">
      <w:pPr>
        <w:numPr>
          <w:ilvl w:val="0"/>
          <w:numId w:val="15"/>
        </w:numPr>
        <w:spacing w:after="0"/>
        <w:ind w:right="0" w:hanging="286"/>
        <w:rPr>
          <w:rFonts w:ascii="Lato" w:hAnsi="Lato" w:cs="Arial"/>
          <w:color w:val="auto"/>
          <w:sz w:val="20"/>
          <w:szCs w:val="20"/>
        </w:rPr>
      </w:pPr>
      <w:r w:rsidRPr="00862FE5">
        <w:rPr>
          <w:rFonts w:ascii="Lato" w:hAnsi="Lato" w:cs="Arial"/>
          <w:color w:val="auto"/>
          <w:sz w:val="20"/>
          <w:szCs w:val="20"/>
        </w:rPr>
        <w:t>aksamitno-matowe lub posiadać nieznaczny połysk,</w:t>
      </w:r>
    </w:p>
    <w:p w14:paraId="608474E1" w14:textId="71DE85F6" w:rsidR="006E2DFB" w:rsidRPr="00862FE5" w:rsidRDefault="00AA110B" w:rsidP="004F7B3F">
      <w:pPr>
        <w:numPr>
          <w:ilvl w:val="0"/>
          <w:numId w:val="15"/>
        </w:numPr>
        <w:spacing w:after="0"/>
        <w:ind w:right="0" w:hanging="286"/>
        <w:rPr>
          <w:rFonts w:ascii="Lato" w:hAnsi="Lato" w:cs="Arial"/>
          <w:color w:val="auto"/>
          <w:sz w:val="20"/>
          <w:szCs w:val="20"/>
        </w:rPr>
      </w:pPr>
      <w:r w:rsidRPr="00862FE5">
        <w:rPr>
          <w:rFonts w:ascii="Lato" w:hAnsi="Lato" w:cs="Arial"/>
          <w:color w:val="auto"/>
          <w:sz w:val="20"/>
          <w:szCs w:val="20"/>
        </w:rPr>
        <w:t>jednolitej barwy, równomierne, bez smug, plam, zgodne ze wzorcem producenta i</w:t>
      </w:r>
      <w:r w:rsidR="00BC0788" w:rsidRPr="00862FE5">
        <w:rPr>
          <w:rFonts w:ascii="Lato" w:hAnsi="Lato" w:cs="Arial"/>
          <w:color w:val="auto"/>
          <w:sz w:val="20"/>
          <w:szCs w:val="20"/>
        </w:rPr>
        <w:t xml:space="preserve"> </w:t>
      </w:r>
      <w:r w:rsidRPr="00862FE5">
        <w:rPr>
          <w:rFonts w:ascii="Lato" w:hAnsi="Lato" w:cs="Arial"/>
          <w:color w:val="auto"/>
          <w:sz w:val="20"/>
          <w:szCs w:val="20"/>
        </w:rPr>
        <w:t>dokumentacją projektową,</w:t>
      </w:r>
    </w:p>
    <w:p w14:paraId="5484CAA2" w14:textId="77777777" w:rsidR="006E2DFB" w:rsidRPr="00862FE5" w:rsidRDefault="00AA110B" w:rsidP="004F7B3F">
      <w:pPr>
        <w:numPr>
          <w:ilvl w:val="0"/>
          <w:numId w:val="15"/>
        </w:numPr>
        <w:spacing w:after="0"/>
        <w:ind w:right="0" w:hanging="286"/>
        <w:rPr>
          <w:rFonts w:ascii="Lato" w:hAnsi="Lato" w:cs="Arial"/>
          <w:color w:val="auto"/>
          <w:sz w:val="20"/>
          <w:szCs w:val="20"/>
        </w:rPr>
      </w:pPr>
      <w:r w:rsidRPr="00862FE5">
        <w:rPr>
          <w:rFonts w:ascii="Lato" w:hAnsi="Lato" w:cs="Arial"/>
          <w:color w:val="auto"/>
          <w:sz w:val="20"/>
          <w:szCs w:val="20"/>
        </w:rPr>
        <w:t>bez uszkodzeń, prześwitów podłoża, śladów pędzla,</w:t>
      </w:r>
    </w:p>
    <w:p w14:paraId="055E7C1A" w14:textId="77777777" w:rsidR="006E2DFB" w:rsidRPr="00862FE5" w:rsidRDefault="00AA110B" w:rsidP="004F7B3F">
      <w:pPr>
        <w:numPr>
          <w:ilvl w:val="0"/>
          <w:numId w:val="15"/>
        </w:numPr>
        <w:spacing w:after="0"/>
        <w:ind w:right="0" w:hanging="286"/>
        <w:rPr>
          <w:rFonts w:ascii="Lato" w:hAnsi="Lato" w:cs="Arial"/>
          <w:color w:val="auto"/>
          <w:sz w:val="20"/>
          <w:szCs w:val="20"/>
        </w:rPr>
      </w:pPr>
      <w:r w:rsidRPr="00862FE5">
        <w:rPr>
          <w:rFonts w:ascii="Lato" w:hAnsi="Lato" w:cs="Arial"/>
          <w:color w:val="auto"/>
          <w:sz w:val="20"/>
          <w:szCs w:val="20"/>
        </w:rPr>
        <w:t>bez złuszczeń, odstawania od podłoża oraz widocznych łączeń i poprawek,</w:t>
      </w:r>
    </w:p>
    <w:p w14:paraId="14CB9D5B" w14:textId="77777777" w:rsidR="006E2DFB" w:rsidRPr="00862FE5" w:rsidRDefault="00AA110B" w:rsidP="004F7B3F">
      <w:pPr>
        <w:numPr>
          <w:ilvl w:val="0"/>
          <w:numId w:val="15"/>
        </w:numPr>
        <w:spacing w:after="0"/>
        <w:ind w:right="0" w:hanging="286"/>
        <w:rPr>
          <w:rFonts w:ascii="Lato" w:hAnsi="Lato" w:cs="Arial"/>
          <w:color w:val="auto"/>
          <w:sz w:val="20"/>
          <w:szCs w:val="20"/>
        </w:rPr>
      </w:pPr>
      <w:r w:rsidRPr="00862FE5">
        <w:rPr>
          <w:rFonts w:ascii="Lato" w:hAnsi="Lato" w:cs="Arial"/>
          <w:color w:val="auto"/>
          <w:sz w:val="20"/>
          <w:szCs w:val="20"/>
        </w:rPr>
        <w:t>bez grudek pigmentów i wypełniaczy ulegających rozcieraniu.</w:t>
      </w:r>
    </w:p>
    <w:p w14:paraId="62607077" w14:textId="77777777" w:rsidR="006E2DFB" w:rsidRPr="00862FE5" w:rsidRDefault="00AA110B" w:rsidP="00537BD9">
      <w:pPr>
        <w:spacing w:after="0" w:line="259" w:lineRule="auto"/>
        <w:ind w:right="-13"/>
        <w:rPr>
          <w:rFonts w:ascii="Lato" w:hAnsi="Lato" w:cs="Arial"/>
          <w:color w:val="auto"/>
          <w:sz w:val="20"/>
          <w:szCs w:val="20"/>
        </w:rPr>
      </w:pPr>
      <w:r w:rsidRPr="00862FE5">
        <w:rPr>
          <w:rFonts w:ascii="Lato" w:hAnsi="Lato" w:cs="Arial"/>
          <w:color w:val="auto"/>
          <w:sz w:val="20"/>
          <w:szCs w:val="20"/>
        </w:rPr>
        <w:t>Dopuszcza się chropowatość powłoki odpowiadającą rodzajowi faktury pokrywanego podłoża.</w:t>
      </w:r>
    </w:p>
    <w:p w14:paraId="28C77F37"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xml:space="preserve"> </w:t>
      </w:r>
    </w:p>
    <w:p w14:paraId="08682FBC" w14:textId="77777777" w:rsidR="006E2DFB" w:rsidRPr="00862FE5" w:rsidRDefault="00AA110B" w:rsidP="004F7B3F">
      <w:pPr>
        <w:spacing w:after="0"/>
        <w:ind w:left="-5" w:right="-14"/>
        <w:rPr>
          <w:rFonts w:ascii="Lato" w:hAnsi="Lato" w:cs="Arial"/>
          <w:color w:val="auto"/>
          <w:sz w:val="20"/>
          <w:szCs w:val="20"/>
        </w:rPr>
      </w:pPr>
      <w:r w:rsidRPr="00862FE5">
        <w:rPr>
          <w:rFonts w:ascii="Lato" w:hAnsi="Lato" w:cs="Arial"/>
          <w:color w:val="auto"/>
          <w:sz w:val="20"/>
          <w:szCs w:val="20"/>
        </w:rPr>
        <w:t>5.5.2. Wymagania w stosunku do powłok z farb na rozpuszczalnikowych spoiwach żywicznych oraz farb na spoiwach żywicznych rozcieńczalnych wodą Powłoki te powinny być:</w:t>
      </w:r>
    </w:p>
    <w:p w14:paraId="1FFBEF1A" w14:textId="77777777" w:rsidR="006E2DFB" w:rsidRPr="00862FE5" w:rsidRDefault="00AA110B" w:rsidP="004F7B3F">
      <w:pPr>
        <w:numPr>
          <w:ilvl w:val="0"/>
          <w:numId w:val="16"/>
        </w:numPr>
        <w:spacing w:after="0"/>
        <w:ind w:right="0" w:hanging="286"/>
        <w:rPr>
          <w:rFonts w:ascii="Lato" w:hAnsi="Lato" w:cs="Arial"/>
          <w:color w:val="auto"/>
          <w:sz w:val="20"/>
          <w:szCs w:val="20"/>
        </w:rPr>
      </w:pPr>
      <w:r w:rsidRPr="00862FE5">
        <w:rPr>
          <w:rFonts w:ascii="Lato" w:hAnsi="Lato" w:cs="Arial"/>
          <w:color w:val="auto"/>
          <w:sz w:val="20"/>
          <w:szCs w:val="20"/>
        </w:rPr>
        <w:t>odporne na zmywanie wodą ze środkiem myjącym, tarcie na sucho i na szorowanie,</w:t>
      </w:r>
    </w:p>
    <w:p w14:paraId="1F108DF1" w14:textId="77777777" w:rsidR="006E2DFB" w:rsidRPr="00862FE5" w:rsidRDefault="00AA110B" w:rsidP="004F7B3F">
      <w:pPr>
        <w:numPr>
          <w:ilvl w:val="0"/>
          <w:numId w:val="16"/>
        </w:numPr>
        <w:spacing w:after="0"/>
        <w:ind w:right="0" w:hanging="286"/>
        <w:rPr>
          <w:rFonts w:ascii="Lato" w:hAnsi="Lato" w:cs="Arial"/>
          <w:color w:val="auto"/>
          <w:sz w:val="20"/>
          <w:szCs w:val="20"/>
        </w:rPr>
      </w:pPr>
      <w:r w:rsidRPr="00862FE5">
        <w:rPr>
          <w:rFonts w:ascii="Lato" w:hAnsi="Lato" w:cs="Arial"/>
          <w:color w:val="auto"/>
          <w:sz w:val="20"/>
          <w:szCs w:val="20"/>
        </w:rPr>
        <w:t>bez uszkodzeń, smug, plam, prześwitów i śladów pędzla,</w:t>
      </w:r>
    </w:p>
    <w:p w14:paraId="592213B1" w14:textId="77777777" w:rsidR="006E2DFB" w:rsidRPr="00862FE5" w:rsidRDefault="00AA110B" w:rsidP="004F7B3F">
      <w:pPr>
        <w:numPr>
          <w:ilvl w:val="0"/>
          <w:numId w:val="16"/>
        </w:numPr>
        <w:spacing w:after="0"/>
        <w:ind w:right="0" w:hanging="286"/>
        <w:rPr>
          <w:rFonts w:ascii="Lato" w:hAnsi="Lato" w:cs="Arial"/>
          <w:color w:val="auto"/>
          <w:sz w:val="20"/>
          <w:szCs w:val="20"/>
        </w:rPr>
      </w:pPr>
      <w:r w:rsidRPr="00862FE5">
        <w:rPr>
          <w:rFonts w:ascii="Lato" w:hAnsi="Lato" w:cs="Arial"/>
          <w:color w:val="auto"/>
          <w:sz w:val="20"/>
          <w:szCs w:val="20"/>
        </w:rPr>
        <w:t>zgodne ze wzorcem producenta i dokumentacją projektową w zakresie barwy i połysku.</w:t>
      </w:r>
    </w:p>
    <w:p w14:paraId="0B5A4F89" w14:textId="77777777" w:rsidR="006E2DFB" w:rsidRPr="00862FE5" w:rsidRDefault="00AA110B" w:rsidP="00537BD9">
      <w:pPr>
        <w:spacing w:after="0" w:line="259" w:lineRule="auto"/>
        <w:ind w:right="-13"/>
        <w:rPr>
          <w:rFonts w:ascii="Lato" w:hAnsi="Lato" w:cs="Arial"/>
          <w:color w:val="auto"/>
          <w:sz w:val="20"/>
          <w:szCs w:val="20"/>
        </w:rPr>
      </w:pPr>
      <w:r w:rsidRPr="00862FE5">
        <w:rPr>
          <w:rFonts w:ascii="Lato" w:hAnsi="Lato" w:cs="Arial"/>
          <w:color w:val="auto"/>
          <w:sz w:val="20"/>
          <w:szCs w:val="20"/>
        </w:rPr>
        <w:t>Dopuszcza się chropowatość powłoki odpowiadającą rodzajowi faktury pokrywanego podłoża.</w:t>
      </w:r>
    </w:p>
    <w:p w14:paraId="22A9F345"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xml:space="preserve"> </w:t>
      </w:r>
    </w:p>
    <w:p w14:paraId="6CE64FE4" w14:textId="77777777" w:rsidR="006E2DFB" w:rsidRPr="00862FE5" w:rsidRDefault="00AA110B" w:rsidP="00537BD9">
      <w:pPr>
        <w:spacing w:after="0"/>
        <w:ind w:right="0"/>
        <w:rPr>
          <w:rFonts w:ascii="Lato" w:hAnsi="Lato" w:cs="Arial"/>
          <w:color w:val="auto"/>
          <w:sz w:val="20"/>
          <w:szCs w:val="20"/>
        </w:rPr>
      </w:pPr>
      <w:r w:rsidRPr="00862FE5">
        <w:rPr>
          <w:rFonts w:ascii="Lato" w:hAnsi="Lato" w:cs="Arial"/>
          <w:color w:val="auto"/>
          <w:sz w:val="20"/>
          <w:szCs w:val="20"/>
        </w:rPr>
        <w:t>Przy jednowarstwowej powłoce malarskiej dopuszczalne są nieznaczne miejscowe prześwity podłoża.</w:t>
      </w:r>
    </w:p>
    <w:p w14:paraId="47AED0B0" w14:textId="77777777" w:rsidR="00537BD9" w:rsidRPr="00862FE5" w:rsidRDefault="00AA110B" w:rsidP="004F7B3F">
      <w:pPr>
        <w:spacing w:after="0"/>
        <w:ind w:left="-5" w:right="4845"/>
        <w:rPr>
          <w:rFonts w:ascii="Lato" w:hAnsi="Lato" w:cs="Arial"/>
          <w:color w:val="auto"/>
          <w:sz w:val="20"/>
          <w:szCs w:val="20"/>
        </w:rPr>
      </w:pPr>
      <w:r w:rsidRPr="00862FE5">
        <w:rPr>
          <w:rFonts w:ascii="Lato" w:hAnsi="Lato" w:cs="Arial"/>
          <w:color w:val="auto"/>
          <w:sz w:val="20"/>
          <w:szCs w:val="20"/>
        </w:rPr>
        <w:t xml:space="preserve">Nie dopuszcza się w tego rodzaju powłokach: </w:t>
      </w:r>
    </w:p>
    <w:p w14:paraId="5A93D603" w14:textId="40C7AFC4" w:rsidR="006E2DFB" w:rsidRPr="00862FE5" w:rsidRDefault="00AA110B" w:rsidP="004F7B3F">
      <w:pPr>
        <w:spacing w:after="0"/>
        <w:ind w:left="-5" w:right="4845"/>
        <w:rPr>
          <w:rFonts w:ascii="Lato" w:hAnsi="Lato" w:cs="Arial"/>
          <w:color w:val="auto"/>
          <w:sz w:val="20"/>
          <w:szCs w:val="20"/>
        </w:rPr>
      </w:pPr>
      <w:r w:rsidRPr="00862FE5">
        <w:rPr>
          <w:rFonts w:ascii="Lato" w:hAnsi="Lato" w:cs="Arial"/>
          <w:color w:val="auto"/>
          <w:sz w:val="20"/>
          <w:szCs w:val="20"/>
        </w:rPr>
        <w:t>a) spękań,</w:t>
      </w:r>
    </w:p>
    <w:p w14:paraId="7486186A" w14:textId="77777777" w:rsidR="006E2DFB" w:rsidRPr="00862FE5" w:rsidRDefault="00AA110B" w:rsidP="004F7B3F">
      <w:pPr>
        <w:numPr>
          <w:ilvl w:val="0"/>
          <w:numId w:val="17"/>
        </w:numPr>
        <w:spacing w:after="0"/>
        <w:ind w:right="0" w:hanging="286"/>
        <w:rPr>
          <w:rFonts w:ascii="Lato" w:hAnsi="Lato" w:cs="Arial"/>
          <w:color w:val="auto"/>
          <w:sz w:val="20"/>
          <w:szCs w:val="20"/>
        </w:rPr>
      </w:pPr>
      <w:r w:rsidRPr="00862FE5">
        <w:rPr>
          <w:rFonts w:ascii="Lato" w:hAnsi="Lato" w:cs="Arial"/>
          <w:color w:val="auto"/>
          <w:sz w:val="20"/>
          <w:szCs w:val="20"/>
        </w:rPr>
        <w:t>łuszczenia się powłok,</w:t>
      </w:r>
    </w:p>
    <w:p w14:paraId="576386DA" w14:textId="77777777" w:rsidR="006E2DFB" w:rsidRPr="00862FE5" w:rsidRDefault="00AA110B" w:rsidP="004F7B3F">
      <w:pPr>
        <w:numPr>
          <w:ilvl w:val="0"/>
          <w:numId w:val="17"/>
        </w:numPr>
        <w:spacing w:after="0"/>
        <w:ind w:right="0" w:hanging="286"/>
        <w:rPr>
          <w:rFonts w:ascii="Lato" w:hAnsi="Lato" w:cs="Arial"/>
          <w:color w:val="auto"/>
          <w:sz w:val="20"/>
          <w:szCs w:val="20"/>
        </w:rPr>
      </w:pPr>
      <w:r w:rsidRPr="00862FE5">
        <w:rPr>
          <w:rFonts w:ascii="Lato" w:hAnsi="Lato" w:cs="Arial"/>
          <w:color w:val="auto"/>
          <w:sz w:val="20"/>
          <w:szCs w:val="20"/>
        </w:rPr>
        <w:t>odstawania powłok od podłoża.</w:t>
      </w:r>
    </w:p>
    <w:p w14:paraId="20394C36" w14:textId="77777777" w:rsidR="006E2DFB" w:rsidRPr="00862FE5" w:rsidRDefault="00AA110B" w:rsidP="004F7B3F">
      <w:pPr>
        <w:spacing w:after="0"/>
        <w:ind w:left="-5" w:right="-14"/>
        <w:rPr>
          <w:rFonts w:ascii="Lato" w:hAnsi="Lato" w:cs="Arial"/>
          <w:color w:val="auto"/>
          <w:sz w:val="20"/>
          <w:szCs w:val="20"/>
        </w:rPr>
      </w:pPr>
      <w:r w:rsidRPr="00862FE5">
        <w:rPr>
          <w:rFonts w:ascii="Lato" w:hAnsi="Lato" w:cs="Arial"/>
          <w:color w:val="auto"/>
          <w:sz w:val="20"/>
          <w:szCs w:val="20"/>
        </w:rPr>
        <w:t>5.5.3. Wymagania w stosunku do powłok wykonanych z farb mineralnych z dodatkami modyfikującymi lub bez, w postaci suchych mieszanek oraz farb na spoiwach mineralno-organicznych Powłoki z farb mineralnych powinny:</w:t>
      </w:r>
    </w:p>
    <w:p w14:paraId="512D867D" w14:textId="77777777" w:rsidR="006E2DFB" w:rsidRPr="00862FE5" w:rsidRDefault="00AA110B" w:rsidP="004F7B3F">
      <w:pPr>
        <w:numPr>
          <w:ilvl w:val="0"/>
          <w:numId w:val="18"/>
        </w:numPr>
        <w:spacing w:after="0"/>
        <w:ind w:right="0" w:hanging="286"/>
        <w:rPr>
          <w:rFonts w:ascii="Lato" w:hAnsi="Lato" w:cs="Arial"/>
          <w:color w:val="auto"/>
          <w:sz w:val="20"/>
          <w:szCs w:val="20"/>
        </w:rPr>
      </w:pPr>
      <w:r w:rsidRPr="00862FE5">
        <w:rPr>
          <w:rFonts w:ascii="Lato" w:hAnsi="Lato" w:cs="Arial"/>
          <w:color w:val="auto"/>
          <w:sz w:val="20"/>
          <w:szCs w:val="20"/>
        </w:rPr>
        <w:t>równomiernie pokrywać podłoża, bez prześwitów, plam i odprysków,</w:t>
      </w:r>
    </w:p>
    <w:p w14:paraId="5A8D3F34" w14:textId="77777777" w:rsidR="006E2DFB" w:rsidRPr="00862FE5" w:rsidRDefault="00AA110B" w:rsidP="004F7B3F">
      <w:pPr>
        <w:numPr>
          <w:ilvl w:val="0"/>
          <w:numId w:val="18"/>
        </w:numPr>
        <w:spacing w:after="0"/>
        <w:ind w:right="0" w:hanging="286"/>
        <w:rPr>
          <w:rFonts w:ascii="Lato" w:hAnsi="Lato" w:cs="Arial"/>
          <w:color w:val="auto"/>
          <w:sz w:val="20"/>
          <w:szCs w:val="20"/>
        </w:rPr>
      </w:pPr>
      <w:r w:rsidRPr="00862FE5">
        <w:rPr>
          <w:rFonts w:ascii="Lato" w:hAnsi="Lato" w:cs="Arial"/>
          <w:color w:val="auto"/>
          <w:sz w:val="20"/>
          <w:szCs w:val="20"/>
        </w:rPr>
        <w:t>nie ścierać się i nie obsypywać przy potarciu miękką tkaniną bawełnianą,</w:t>
      </w:r>
    </w:p>
    <w:p w14:paraId="77BE86E7" w14:textId="77777777" w:rsidR="006E2DFB" w:rsidRPr="00862FE5" w:rsidRDefault="00AA110B" w:rsidP="004F7B3F">
      <w:pPr>
        <w:numPr>
          <w:ilvl w:val="0"/>
          <w:numId w:val="18"/>
        </w:numPr>
        <w:spacing w:after="0"/>
        <w:ind w:right="0" w:hanging="286"/>
        <w:rPr>
          <w:rFonts w:ascii="Lato" w:hAnsi="Lato" w:cs="Arial"/>
          <w:color w:val="auto"/>
          <w:sz w:val="20"/>
          <w:szCs w:val="20"/>
        </w:rPr>
      </w:pPr>
      <w:r w:rsidRPr="00862FE5">
        <w:rPr>
          <w:rFonts w:ascii="Lato" w:hAnsi="Lato" w:cs="Arial"/>
          <w:color w:val="auto"/>
          <w:sz w:val="20"/>
          <w:szCs w:val="20"/>
        </w:rPr>
        <w:t>nie mieć śladów pędzla,</w:t>
      </w:r>
    </w:p>
    <w:p w14:paraId="634A4407" w14:textId="77777777" w:rsidR="006E2DFB" w:rsidRPr="00862FE5" w:rsidRDefault="00AA110B" w:rsidP="004F7B3F">
      <w:pPr>
        <w:numPr>
          <w:ilvl w:val="0"/>
          <w:numId w:val="18"/>
        </w:numPr>
        <w:spacing w:after="0"/>
        <w:ind w:right="0" w:hanging="286"/>
        <w:rPr>
          <w:rFonts w:ascii="Lato" w:hAnsi="Lato" w:cs="Arial"/>
          <w:color w:val="auto"/>
          <w:sz w:val="20"/>
          <w:szCs w:val="20"/>
        </w:rPr>
      </w:pPr>
      <w:r w:rsidRPr="00862FE5">
        <w:rPr>
          <w:rFonts w:ascii="Lato" w:hAnsi="Lato" w:cs="Arial"/>
          <w:color w:val="auto"/>
          <w:sz w:val="20"/>
          <w:szCs w:val="20"/>
        </w:rPr>
        <w:t>w zakresie barwy i połysku być zgodne z wzorcem producenta oraz dokumentacją projektową,</w:t>
      </w:r>
    </w:p>
    <w:p w14:paraId="3320A0FA" w14:textId="6C79D426" w:rsidR="006E2DFB" w:rsidRPr="00862FE5" w:rsidRDefault="00AA110B" w:rsidP="004F7B3F">
      <w:pPr>
        <w:numPr>
          <w:ilvl w:val="0"/>
          <w:numId w:val="18"/>
        </w:numPr>
        <w:spacing w:after="0"/>
        <w:ind w:right="0" w:hanging="286"/>
        <w:rPr>
          <w:rFonts w:ascii="Lato" w:hAnsi="Lato" w:cs="Arial"/>
          <w:color w:val="auto"/>
          <w:sz w:val="20"/>
          <w:szCs w:val="20"/>
        </w:rPr>
      </w:pPr>
      <w:r w:rsidRPr="00862FE5">
        <w:rPr>
          <w:rFonts w:ascii="Lato" w:hAnsi="Lato" w:cs="Arial"/>
          <w:color w:val="auto"/>
          <w:sz w:val="20"/>
          <w:szCs w:val="20"/>
        </w:rPr>
        <w:t>być odporne na zmywanie wodą (za wyjątkiem farb wapiennych i cementowych bez dodatków</w:t>
      </w:r>
      <w:r w:rsidR="00BC0788" w:rsidRPr="00862FE5">
        <w:rPr>
          <w:rFonts w:ascii="Lato" w:hAnsi="Lato" w:cs="Arial"/>
          <w:color w:val="auto"/>
          <w:sz w:val="20"/>
          <w:szCs w:val="20"/>
        </w:rPr>
        <w:t xml:space="preserve"> </w:t>
      </w:r>
      <w:r w:rsidRPr="00862FE5">
        <w:rPr>
          <w:rFonts w:ascii="Lato" w:hAnsi="Lato" w:cs="Arial"/>
          <w:color w:val="auto"/>
          <w:sz w:val="20"/>
          <w:szCs w:val="20"/>
        </w:rPr>
        <w:t>modyfikujących),</w:t>
      </w:r>
    </w:p>
    <w:p w14:paraId="05CC67E6" w14:textId="77777777" w:rsidR="006E2DFB" w:rsidRPr="00862FE5" w:rsidRDefault="00AA110B" w:rsidP="004F7B3F">
      <w:pPr>
        <w:numPr>
          <w:ilvl w:val="0"/>
          <w:numId w:val="18"/>
        </w:numPr>
        <w:spacing w:after="0"/>
        <w:ind w:right="0" w:hanging="286"/>
        <w:rPr>
          <w:rFonts w:ascii="Lato" w:hAnsi="Lato" w:cs="Arial"/>
          <w:color w:val="auto"/>
          <w:sz w:val="20"/>
          <w:szCs w:val="20"/>
        </w:rPr>
      </w:pPr>
      <w:r w:rsidRPr="00862FE5">
        <w:rPr>
          <w:rFonts w:ascii="Lato" w:hAnsi="Lato" w:cs="Arial"/>
          <w:color w:val="auto"/>
          <w:sz w:val="20"/>
          <w:szCs w:val="20"/>
        </w:rPr>
        <w:t>nie mieć przykrego zapachu.</w:t>
      </w:r>
    </w:p>
    <w:p w14:paraId="0DBA8433"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Dopuszcza się w tego rodzaju powłokach:</w:t>
      </w:r>
    </w:p>
    <w:p w14:paraId="7099CF2D" w14:textId="18CCB6E9" w:rsidR="006E2DFB" w:rsidRPr="00862FE5" w:rsidRDefault="00AA110B" w:rsidP="00537BD9">
      <w:pPr>
        <w:numPr>
          <w:ilvl w:val="0"/>
          <w:numId w:val="19"/>
        </w:numPr>
        <w:spacing w:after="0"/>
        <w:ind w:right="0" w:hanging="286"/>
        <w:rPr>
          <w:rFonts w:ascii="Lato" w:hAnsi="Lato" w:cs="Arial"/>
          <w:color w:val="auto"/>
          <w:sz w:val="20"/>
          <w:szCs w:val="20"/>
        </w:rPr>
      </w:pPr>
      <w:r w:rsidRPr="00862FE5">
        <w:rPr>
          <w:rFonts w:ascii="Lato" w:hAnsi="Lato" w:cs="Arial"/>
          <w:color w:val="auto"/>
          <w:sz w:val="20"/>
          <w:szCs w:val="20"/>
        </w:rPr>
        <w:t>na powłokach wykonanych na elewacjach niejednolity odcień barwy powłoki w miejscach</w:t>
      </w:r>
      <w:r w:rsidR="00BC0788" w:rsidRPr="00862FE5">
        <w:rPr>
          <w:rFonts w:ascii="Lato" w:hAnsi="Lato" w:cs="Arial"/>
          <w:color w:val="auto"/>
          <w:sz w:val="20"/>
          <w:szCs w:val="20"/>
        </w:rPr>
        <w:t xml:space="preserve"> </w:t>
      </w:r>
      <w:r w:rsidRPr="00862FE5">
        <w:rPr>
          <w:rFonts w:ascii="Lato" w:hAnsi="Lato" w:cs="Arial"/>
          <w:color w:val="auto"/>
          <w:sz w:val="20"/>
          <w:szCs w:val="20"/>
        </w:rPr>
        <w:t>napraw tynku po hakach rusztowań, o powierzchni każdego z nich nie przekraczającej 20 cm</w:t>
      </w:r>
      <w:r w:rsidRPr="00862FE5">
        <w:rPr>
          <w:rFonts w:ascii="Lato" w:hAnsi="Lato" w:cs="Arial"/>
          <w:color w:val="auto"/>
          <w:sz w:val="20"/>
          <w:szCs w:val="20"/>
          <w:vertAlign w:val="superscript"/>
        </w:rPr>
        <w:t>2</w:t>
      </w:r>
      <w:r w:rsidRPr="00862FE5">
        <w:rPr>
          <w:rFonts w:ascii="Lato" w:hAnsi="Lato" w:cs="Arial"/>
          <w:color w:val="auto"/>
          <w:sz w:val="20"/>
          <w:szCs w:val="20"/>
        </w:rPr>
        <w:t>,</w:t>
      </w:r>
    </w:p>
    <w:p w14:paraId="57ADD97F" w14:textId="77777777" w:rsidR="006E2DFB" w:rsidRPr="00862FE5" w:rsidRDefault="00AA110B" w:rsidP="004F7B3F">
      <w:pPr>
        <w:numPr>
          <w:ilvl w:val="0"/>
          <w:numId w:val="19"/>
        </w:numPr>
        <w:spacing w:after="0"/>
        <w:ind w:right="0" w:hanging="286"/>
        <w:rPr>
          <w:rFonts w:ascii="Lato" w:hAnsi="Lato" w:cs="Arial"/>
          <w:color w:val="auto"/>
          <w:sz w:val="20"/>
          <w:szCs w:val="20"/>
        </w:rPr>
      </w:pPr>
      <w:r w:rsidRPr="00862FE5">
        <w:rPr>
          <w:rFonts w:ascii="Lato" w:hAnsi="Lato" w:cs="Arial"/>
          <w:color w:val="auto"/>
          <w:sz w:val="20"/>
          <w:szCs w:val="20"/>
        </w:rPr>
        <w:t>chropowatość powłoki odpowiadają rodzajowi faktury pokrywanego podłoża,</w:t>
      </w:r>
    </w:p>
    <w:p w14:paraId="437DC98F" w14:textId="0091BAED" w:rsidR="006E2DFB" w:rsidRPr="00862FE5" w:rsidRDefault="00AA110B" w:rsidP="004F7B3F">
      <w:pPr>
        <w:numPr>
          <w:ilvl w:val="0"/>
          <w:numId w:val="19"/>
        </w:numPr>
        <w:spacing w:after="0"/>
        <w:ind w:right="0" w:hanging="286"/>
        <w:rPr>
          <w:rFonts w:ascii="Lato" w:hAnsi="Lato" w:cs="Arial"/>
          <w:color w:val="auto"/>
          <w:sz w:val="20"/>
          <w:szCs w:val="20"/>
        </w:rPr>
      </w:pPr>
      <w:r w:rsidRPr="00862FE5">
        <w:rPr>
          <w:rFonts w:ascii="Lato" w:hAnsi="Lato" w:cs="Arial"/>
          <w:color w:val="auto"/>
          <w:sz w:val="20"/>
          <w:szCs w:val="20"/>
        </w:rPr>
        <w:t>odchylenia do 2 mm na 1 m oraz do 3 mm na całej długości na liniach styku odmiennych</w:t>
      </w:r>
      <w:r w:rsidR="00BC0788" w:rsidRPr="00862FE5">
        <w:rPr>
          <w:rFonts w:ascii="Lato" w:hAnsi="Lato" w:cs="Arial"/>
          <w:color w:val="auto"/>
          <w:sz w:val="20"/>
          <w:szCs w:val="20"/>
        </w:rPr>
        <w:t xml:space="preserve"> </w:t>
      </w:r>
      <w:r w:rsidRPr="00862FE5">
        <w:rPr>
          <w:rFonts w:ascii="Lato" w:hAnsi="Lato" w:cs="Arial"/>
          <w:color w:val="auto"/>
          <w:sz w:val="20"/>
          <w:szCs w:val="20"/>
        </w:rPr>
        <w:t>barw,</w:t>
      </w:r>
    </w:p>
    <w:p w14:paraId="4BAA466B" w14:textId="77777777" w:rsidR="006E2DFB" w:rsidRPr="00862FE5" w:rsidRDefault="00AA110B" w:rsidP="004F7B3F">
      <w:pPr>
        <w:numPr>
          <w:ilvl w:val="0"/>
          <w:numId w:val="19"/>
        </w:numPr>
        <w:spacing w:after="0"/>
        <w:ind w:right="0" w:hanging="286"/>
        <w:rPr>
          <w:rFonts w:ascii="Lato" w:hAnsi="Lato" w:cs="Arial"/>
          <w:color w:val="auto"/>
          <w:sz w:val="20"/>
          <w:szCs w:val="20"/>
        </w:rPr>
      </w:pPr>
      <w:r w:rsidRPr="00862FE5">
        <w:rPr>
          <w:rFonts w:ascii="Lato" w:hAnsi="Lato" w:cs="Arial"/>
          <w:color w:val="auto"/>
          <w:sz w:val="20"/>
          <w:szCs w:val="20"/>
        </w:rPr>
        <w:lastRenderedPageBreak/>
        <w:t>ślady pędzla na powłokach jednowarstwowych.</w:t>
      </w:r>
    </w:p>
    <w:p w14:paraId="5E5C5E0C"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5.5.4. Wymagania w stosunku do powłok z lakierów na spoiwach żywicznych wodorozcieńczalnych i rozpuszczalnikowych Powłoki z lakierów powinny:</w:t>
      </w:r>
    </w:p>
    <w:p w14:paraId="1890D0C6" w14:textId="71BCC500" w:rsidR="006E2DFB" w:rsidRPr="00862FE5" w:rsidRDefault="00AA110B" w:rsidP="004F7B3F">
      <w:pPr>
        <w:numPr>
          <w:ilvl w:val="0"/>
          <w:numId w:val="20"/>
        </w:numPr>
        <w:spacing w:after="0"/>
        <w:ind w:right="0" w:hanging="286"/>
        <w:rPr>
          <w:rFonts w:ascii="Lato" w:hAnsi="Lato" w:cs="Arial"/>
          <w:color w:val="auto"/>
          <w:sz w:val="20"/>
          <w:szCs w:val="20"/>
        </w:rPr>
      </w:pPr>
      <w:r w:rsidRPr="00862FE5">
        <w:rPr>
          <w:rFonts w:ascii="Lato" w:hAnsi="Lato" w:cs="Arial"/>
          <w:color w:val="auto"/>
          <w:sz w:val="20"/>
          <w:szCs w:val="20"/>
        </w:rPr>
        <w:t>mieć jednolity w odcieniu i połysku wygląd, zgodny z wzorcem producenta i dokumentacją</w:t>
      </w:r>
      <w:r w:rsidR="00BC0788" w:rsidRPr="00862FE5">
        <w:rPr>
          <w:rFonts w:ascii="Lato" w:hAnsi="Lato" w:cs="Arial"/>
          <w:color w:val="auto"/>
          <w:sz w:val="20"/>
          <w:szCs w:val="20"/>
        </w:rPr>
        <w:t xml:space="preserve"> </w:t>
      </w:r>
      <w:r w:rsidRPr="00862FE5">
        <w:rPr>
          <w:rFonts w:ascii="Lato" w:hAnsi="Lato" w:cs="Arial"/>
          <w:color w:val="auto"/>
          <w:sz w:val="20"/>
          <w:szCs w:val="20"/>
        </w:rPr>
        <w:t>projektową,</w:t>
      </w:r>
    </w:p>
    <w:p w14:paraId="06A5EA50" w14:textId="77777777" w:rsidR="006E2DFB" w:rsidRPr="00862FE5" w:rsidRDefault="00AA110B" w:rsidP="004F7B3F">
      <w:pPr>
        <w:numPr>
          <w:ilvl w:val="0"/>
          <w:numId w:val="20"/>
        </w:numPr>
        <w:spacing w:after="0"/>
        <w:ind w:right="0" w:hanging="286"/>
        <w:rPr>
          <w:rFonts w:ascii="Lato" w:hAnsi="Lato" w:cs="Arial"/>
          <w:color w:val="auto"/>
          <w:sz w:val="20"/>
          <w:szCs w:val="20"/>
        </w:rPr>
      </w:pPr>
      <w:r w:rsidRPr="00862FE5">
        <w:rPr>
          <w:rFonts w:ascii="Lato" w:hAnsi="Lato" w:cs="Arial"/>
          <w:color w:val="auto"/>
          <w:sz w:val="20"/>
          <w:szCs w:val="20"/>
        </w:rPr>
        <w:t>nie mieć śladów pędzla, smug, plam, zacieków, uszkodzeń, pęcherzy i zmarszczeń,</w:t>
      </w:r>
    </w:p>
    <w:p w14:paraId="261AC340" w14:textId="77777777" w:rsidR="006E2DFB" w:rsidRPr="00862FE5" w:rsidRDefault="00AA110B" w:rsidP="004F7B3F">
      <w:pPr>
        <w:numPr>
          <w:ilvl w:val="0"/>
          <w:numId w:val="20"/>
        </w:numPr>
        <w:spacing w:after="0"/>
        <w:ind w:right="0" w:hanging="286"/>
        <w:rPr>
          <w:rFonts w:ascii="Lato" w:hAnsi="Lato" w:cs="Arial"/>
          <w:color w:val="auto"/>
          <w:sz w:val="20"/>
          <w:szCs w:val="20"/>
        </w:rPr>
      </w:pPr>
      <w:r w:rsidRPr="00862FE5">
        <w:rPr>
          <w:rFonts w:ascii="Lato" w:hAnsi="Lato" w:cs="Arial"/>
          <w:color w:val="auto"/>
          <w:sz w:val="20"/>
          <w:szCs w:val="20"/>
        </w:rPr>
        <w:t>dobrze przylegać do podłoża,</w:t>
      </w:r>
    </w:p>
    <w:p w14:paraId="6BC12CF6" w14:textId="77777777" w:rsidR="006E2DFB" w:rsidRPr="00862FE5" w:rsidRDefault="00AA110B" w:rsidP="004F7B3F">
      <w:pPr>
        <w:numPr>
          <w:ilvl w:val="0"/>
          <w:numId w:val="20"/>
        </w:numPr>
        <w:spacing w:after="0"/>
        <w:ind w:right="0" w:hanging="286"/>
        <w:rPr>
          <w:rFonts w:ascii="Lato" w:hAnsi="Lato" w:cs="Arial"/>
          <w:color w:val="auto"/>
          <w:sz w:val="20"/>
          <w:szCs w:val="20"/>
        </w:rPr>
      </w:pPr>
      <w:r w:rsidRPr="00862FE5">
        <w:rPr>
          <w:rFonts w:ascii="Lato" w:hAnsi="Lato" w:cs="Arial"/>
          <w:color w:val="auto"/>
          <w:sz w:val="20"/>
          <w:szCs w:val="20"/>
        </w:rPr>
        <w:t>mieć odporność na zarysowania i wycieranie,</w:t>
      </w:r>
    </w:p>
    <w:p w14:paraId="6CE6DAD7" w14:textId="5C4B3B45" w:rsidR="006E2DFB" w:rsidRPr="00862FE5" w:rsidRDefault="00AA110B" w:rsidP="004F7B3F">
      <w:pPr>
        <w:numPr>
          <w:ilvl w:val="0"/>
          <w:numId w:val="20"/>
        </w:numPr>
        <w:spacing w:after="0"/>
        <w:ind w:right="0" w:hanging="286"/>
        <w:rPr>
          <w:rFonts w:ascii="Lato" w:hAnsi="Lato" w:cs="Arial"/>
          <w:color w:val="auto"/>
          <w:sz w:val="20"/>
          <w:szCs w:val="20"/>
        </w:rPr>
      </w:pPr>
      <w:r w:rsidRPr="00862FE5">
        <w:rPr>
          <w:rFonts w:ascii="Lato" w:hAnsi="Lato" w:cs="Arial"/>
          <w:color w:val="auto"/>
          <w:sz w:val="20"/>
          <w:szCs w:val="20"/>
        </w:rPr>
        <w:t>mieć odporność na zmywanie wodą ze środkiem myjącym.</w:t>
      </w:r>
    </w:p>
    <w:p w14:paraId="4D2DB0D7" w14:textId="77777777" w:rsidR="00537BD9" w:rsidRPr="00862FE5" w:rsidRDefault="00537BD9" w:rsidP="00537BD9">
      <w:pPr>
        <w:spacing w:after="0"/>
        <w:ind w:left="286" w:right="0" w:firstLine="0"/>
        <w:rPr>
          <w:rFonts w:ascii="Lato" w:hAnsi="Lato" w:cs="Arial"/>
          <w:color w:val="auto"/>
          <w:sz w:val="20"/>
          <w:szCs w:val="20"/>
        </w:rPr>
      </w:pPr>
    </w:p>
    <w:p w14:paraId="6F666583" w14:textId="77777777" w:rsidR="006E2DFB" w:rsidRPr="00862FE5" w:rsidRDefault="00AA110B" w:rsidP="004F7B3F">
      <w:pPr>
        <w:numPr>
          <w:ilvl w:val="0"/>
          <w:numId w:val="21"/>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KONTROLA JAKOŚCI ROBÓT</w:t>
      </w:r>
    </w:p>
    <w:p w14:paraId="465132B9" w14:textId="057458E9" w:rsidR="006E2DFB" w:rsidRPr="00862FE5" w:rsidRDefault="00AA110B" w:rsidP="004F7B3F">
      <w:pPr>
        <w:numPr>
          <w:ilvl w:val="1"/>
          <w:numId w:val="21"/>
        </w:numPr>
        <w:spacing w:after="0" w:line="248" w:lineRule="auto"/>
        <w:ind w:right="0" w:hanging="571"/>
        <w:jc w:val="left"/>
        <w:rPr>
          <w:rFonts w:ascii="Lato" w:hAnsi="Lato" w:cs="Arial"/>
          <w:color w:val="auto"/>
          <w:sz w:val="20"/>
          <w:szCs w:val="20"/>
        </w:rPr>
      </w:pPr>
      <w:r w:rsidRPr="00862FE5">
        <w:rPr>
          <w:rFonts w:ascii="Lato" w:hAnsi="Lato" w:cs="Arial"/>
          <w:color w:val="auto"/>
          <w:sz w:val="20"/>
          <w:szCs w:val="20"/>
        </w:rPr>
        <w:t>Ogólne zasady kontroli jakości robót podano w ST „Wymagania ogólne” Kod CPV 45000000-7, pkt 6</w:t>
      </w:r>
    </w:p>
    <w:p w14:paraId="5B839AFD" w14:textId="77777777" w:rsidR="00537BD9" w:rsidRPr="00862FE5" w:rsidRDefault="00537BD9" w:rsidP="00537BD9">
      <w:pPr>
        <w:spacing w:after="0" w:line="248" w:lineRule="auto"/>
        <w:ind w:left="1291" w:right="0" w:firstLine="0"/>
        <w:jc w:val="left"/>
        <w:rPr>
          <w:rFonts w:ascii="Lato" w:hAnsi="Lato" w:cs="Arial"/>
          <w:color w:val="auto"/>
          <w:sz w:val="20"/>
          <w:szCs w:val="20"/>
        </w:rPr>
      </w:pPr>
    </w:p>
    <w:p w14:paraId="3413BED8" w14:textId="77777777" w:rsidR="006E2DFB" w:rsidRPr="00862FE5" w:rsidRDefault="00AA110B" w:rsidP="004F7B3F">
      <w:pPr>
        <w:numPr>
          <w:ilvl w:val="1"/>
          <w:numId w:val="21"/>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Badania przed przystąpieniem do robót malarskich</w:t>
      </w:r>
    </w:p>
    <w:p w14:paraId="748D43ED"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Przed przystąpieniem do robót malarskich należy przeprowadzić badanie podłoży oraz materiałów, które będą wykorzystywane do wykonywania robót.</w:t>
      </w:r>
    </w:p>
    <w:p w14:paraId="6A73C4AB"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6.2.1. Badania podłoży pod malowanie</w:t>
      </w:r>
    </w:p>
    <w:p w14:paraId="764CD1C6"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Badanie podłoża pod malowanie, w zależności od jego rodzaju, należy wykonywać w następujących terminach:</w:t>
      </w:r>
    </w:p>
    <w:p w14:paraId="7C188A38" w14:textId="77777777" w:rsidR="006E2DFB" w:rsidRPr="00862FE5" w:rsidRDefault="00AA110B" w:rsidP="004F7B3F">
      <w:pPr>
        <w:numPr>
          <w:ilvl w:val="0"/>
          <w:numId w:val="22"/>
        </w:numPr>
        <w:spacing w:after="0"/>
        <w:ind w:right="0" w:hanging="286"/>
        <w:rPr>
          <w:rFonts w:ascii="Lato" w:hAnsi="Lato" w:cs="Arial"/>
          <w:color w:val="auto"/>
          <w:sz w:val="20"/>
          <w:szCs w:val="20"/>
        </w:rPr>
      </w:pPr>
      <w:r w:rsidRPr="00862FE5">
        <w:rPr>
          <w:rFonts w:ascii="Lato" w:hAnsi="Lato" w:cs="Arial"/>
          <w:color w:val="auto"/>
          <w:sz w:val="20"/>
          <w:szCs w:val="20"/>
        </w:rPr>
        <w:t>dla podłoża betonowego nie wcześniej niż po 4 tygodniach od daty jego wykonania,</w:t>
      </w:r>
    </w:p>
    <w:p w14:paraId="547B78C2" w14:textId="77777777" w:rsidR="006E2DFB" w:rsidRPr="00862FE5" w:rsidRDefault="00AA110B" w:rsidP="004F7B3F">
      <w:pPr>
        <w:numPr>
          <w:ilvl w:val="0"/>
          <w:numId w:val="22"/>
        </w:numPr>
        <w:spacing w:after="0"/>
        <w:ind w:right="0" w:hanging="286"/>
        <w:rPr>
          <w:rFonts w:ascii="Lato" w:hAnsi="Lato" w:cs="Arial"/>
          <w:color w:val="auto"/>
          <w:sz w:val="20"/>
          <w:szCs w:val="20"/>
        </w:rPr>
      </w:pPr>
      <w:r w:rsidRPr="00862FE5">
        <w:rPr>
          <w:rFonts w:ascii="Lato" w:hAnsi="Lato" w:cs="Arial"/>
          <w:color w:val="auto"/>
          <w:sz w:val="20"/>
          <w:szCs w:val="20"/>
        </w:rPr>
        <w:t>dla pozostałych podłoży, po otrzymaniu protokołu z ich przyjęcia.</w:t>
      </w:r>
    </w:p>
    <w:p w14:paraId="1FD49268" w14:textId="77777777" w:rsidR="006E2DFB" w:rsidRPr="00862FE5" w:rsidRDefault="00AA110B" w:rsidP="004F7B3F">
      <w:pPr>
        <w:spacing w:after="0"/>
        <w:ind w:left="271" w:right="0" w:hanging="286"/>
        <w:rPr>
          <w:rFonts w:ascii="Lato" w:hAnsi="Lato" w:cs="Arial"/>
          <w:color w:val="auto"/>
          <w:sz w:val="20"/>
          <w:szCs w:val="20"/>
        </w:rPr>
      </w:pPr>
      <w:r w:rsidRPr="00862FE5">
        <w:rPr>
          <w:rFonts w:ascii="Lato" w:hAnsi="Lato" w:cs="Arial"/>
          <w:color w:val="auto"/>
          <w:sz w:val="20"/>
          <w:szCs w:val="20"/>
        </w:rPr>
        <w:t>Badanie podłoża powinno być przeprowadzane po zamocowaniu i wbudowaniu wszystkich elementów przeznaczonych do malowania.</w:t>
      </w:r>
    </w:p>
    <w:p w14:paraId="390150C9"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Kontrolą powinny być objęte w przypadku:</w:t>
      </w:r>
    </w:p>
    <w:p w14:paraId="028500EC" w14:textId="77777777" w:rsidR="006E2DFB" w:rsidRPr="00862FE5" w:rsidRDefault="00AA110B" w:rsidP="004F7B3F">
      <w:pPr>
        <w:numPr>
          <w:ilvl w:val="0"/>
          <w:numId w:val="22"/>
        </w:numPr>
        <w:spacing w:after="0"/>
        <w:ind w:right="0" w:hanging="286"/>
        <w:rPr>
          <w:rFonts w:ascii="Lato" w:hAnsi="Lato" w:cs="Arial"/>
          <w:color w:val="auto"/>
          <w:sz w:val="20"/>
          <w:szCs w:val="20"/>
        </w:rPr>
      </w:pPr>
      <w:r w:rsidRPr="00862FE5">
        <w:rPr>
          <w:rFonts w:ascii="Lato" w:hAnsi="Lato" w:cs="Arial"/>
          <w:color w:val="auto"/>
          <w:sz w:val="20"/>
          <w:szCs w:val="20"/>
        </w:rPr>
        <w:t>murów ceglanych i kamiennych – zgodność wykonania z projektem budowlanym, dokładność wykonania zgodnie ze Szczegółową Specyfikacją Techniczną robót murowych, wypełnienie spoin, wykonanie napraw i uzupełnień, czystość powierzchni, wilgotność muru,</w:t>
      </w:r>
    </w:p>
    <w:p w14:paraId="4380FF4D" w14:textId="77777777" w:rsidR="006E2DFB" w:rsidRPr="00862FE5" w:rsidRDefault="00AA110B" w:rsidP="004F7B3F">
      <w:pPr>
        <w:numPr>
          <w:ilvl w:val="0"/>
          <w:numId w:val="22"/>
        </w:numPr>
        <w:spacing w:after="0"/>
        <w:ind w:right="0" w:hanging="286"/>
        <w:rPr>
          <w:rFonts w:ascii="Lato" w:hAnsi="Lato" w:cs="Arial"/>
          <w:color w:val="auto"/>
          <w:sz w:val="20"/>
          <w:szCs w:val="20"/>
        </w:rPr>
      </w:pPr>
      <w:r w:rsidRPr="00862FE5">
        <w:rPr>
          <w:rFonts w:ascii="Lato" w:hAnsi="Lato" w:cs="Arial"/>
          <w:color w:val="auto"/>
          <w:sz w:val="20"/>
          <w:szCs w:val="20"/>
        </w:rPr>
        <w:t>podłoży betonowych – dokładność i zgodność wykonania z projektem budowlanym oraz szczegółową specyfikacją techniczną robót betonowych, czystość powierzchni, wykonanie napraw i uzupełnień, wilgotność podłoża, zabezpieczenie elementów metalowych,</w:t>
      </w:r>
    </w:p>
    <w:p w14:paraId="46CF1533" w14:textId="77777777" w:rsidR="006E2DFB" w:rsidRPr="00862FE5" w:rsidRDefault="00AA110B" w:rsidP="004F7B3F">
      <w:pPr>
        <w:numPr>
          <w:ilvl w:val="0"/>
          <w:numId w:val="22"/>
        </w:numPr>
        <w:spacing w:after="0"/>
        <w:ind w:right="0" w:hanging="286"/>
        <w:rPr>
          <w:rFonts w:ascii="Lato" w:hAnsi="Lato" w:cs="Arial"/>
          <w:color w:val="auto"/>
          <w:sz w:val="20"/>
          <w:szCs w:val="20"/>
        </w:rPr>
      </w:pPr>
      <w:r w:rsidRPr="00862FE5">
        <w:rPr>
          <w:rFonts w:ascii="Lato" w:hAnsi="Lato" w:cs="Arial"/>
          <w:color w:val="auto"/>
          <w:sz w:val="20"/>
          <w:szCs w:val="20"/>
        </w:rPr>
        <w:t>tynków zwykłych i pocienionych – zgodność z projektem, równość i wygląd powierzchni z uwzględnieniem wymagań określonych w szczegółowej specyfikacji technicznej robót tynkowych, czystość powierzchni, wykonanie napraw i uzupełnień, zabezpieczenie elementów metalowych, wilgotność tynku,</w:t>
      </w:r>
    </w:p>
    <w:p w14:paraId="116D2969" w14:textId="77777777" w:rsidR="006E2DFB" w:rsidRPr="00862FE5" w:rsidRDefault="00AA110B" w:rsidP="004F7B3F">
      <w:pPr>
        <w:numPr>
          <w:ilvl w:val="0"/>
          <w:numId w:val="22"/>
        </w:numPr>
        <w:spacing w:after="0"/>
        <w:ind w:right="0" w:hanging="286"/>
        <w:rPr>
          <w:rFonts w:ascii="Lato" w:hAnsi="Lato" w:cs="Arial"/>
          <w:color w:val="auto"/>
          <w:sz w:val="20"/>
          <w:szCs w:val="20"/>
        </w:rPr>
      </w:pPr>
      <w:r w:rsidRPr="00862FE5">
        <w:rPr>
          <w:rFonts w:ascii="Lato" w:hAnsi="Lato" w:cs="Arial"/>
          <w:color w:val="auto"/>
          <w:sz w:val="20"/>
          <w:szCs w:val="20"/>
        </w:rPr>
        <w:t>podłoży z drewna – wilgotność, stan podłoża, wygląd i czystość powierzchni, wykonanie napraw i uzupełnień,</w:t>
      </w:r>
    </w:p>
    <w:p w14:paraId="23DA597E" w14:textId="77777777" w:rsidR="006E2DFB" w:rsidRPr="00862FE5" w:rsidRDefault="00AA110B" w:rsidP="004F7B3F">
      <w:pPr>
        <w:numPr>
          <w:ilvl w:val="0"/>
          <w:numId w:val="22"/>
        </w:numPr>
        <w:spacing w:after="0"/>
        <w:ind w:right="0" w:hanging="286"/>
        <w:rPr>
          <w:rFonts w:ascii="Lato" w:hAnsi="Lato" w:cs="Arial"/>
          <w:color w:val="auto"/>
          <w:sz w:val="20"/>
          <w:szCs w:val="20"/>
        </w:rPr>
      </w:pPr>
      <w:r w:rsidRPr="00862FE5">
        <w:rPr>
          <w:rFonts w:ascii="Lato" w:hAnsi="Lato" w:cs="Arial"/>
          <w:color w:val="auto"/>
          <w:sz w:val="20"/>
          <w:szCs w:val="20"/>
        </w:rPr>
        <w:t>płyt gipsowo-kartonowych i włóknisto-mineralnych – wilgotność, wygląd i czystość powierzchni, wykonanie napraw i uzupełnień, wykoń-czenie styków oraz zabezpieczenie wkrętów,</w:t>
      </w:r>
    </w:p>
    <w:p w14:paraId="1A136832" w14:textId="77777777" w:rsidR="00DE22B8" w:rsidRPr="00862FE5" w:rsidRDefault="00AA110B" w:rsidP="00DE22B8">
      <w:pPr>
        <w:numPr>
          <w:ilvl w:val="0"/>
          <w:numId w:val="22"/>
        </w:numPr>
        <w:spacing w:after="0"/>
        <w:ind w:right="0" w:hanging="286"/>
        <w:rPr>
          <w:rFonts w:ascii="Lato" w:hAnsi="Lato" w:cs="Arial"/>
          <w:color w:val="auto"/>
          <w:sz w:val="20"/>
          <w:szCs w:val="20"/>
        </w:rPr>
      </w:pPr>
      <w:r w:rsidRPr="00862FE5">
        <w:rPr>
          <w:rFonts w:ascii="Lato" w:hAnsi="Lato" w:cs="Arial"/>
          <w:color w:val="auto"/>
          <w:sz w:val="20"/>
          <w:szCs w:val="20"/>
        </w:rPr>
        <w:t>elementów metalowych – czystość powierzchni.</w:t>
      </w:r>
    </w:p>
    <w:p w14:paraId="6A3C439B" w14:textId="069EEDBF" w:rsidR="006E2DFB" w:rsidRPr="00862FE5" w:rsidRDefault="00AA110B" w:rsidP="00DE22B8">
      <w:pPr>
        <w:spacing w:after="0"/>
        <w:ind w:left="0" w:right="0" w:firstLine="0"/>
        <w:rPr>
          <w:rFonts w:ascii="Lato" w:hAnsi="Lato" w:cs="Arial"/>
          <w:color w:val="auto"/>
          <w:sz w:val="20"/>
          <w:szCs w:val="20"/>
        </w:rPr>
      </w:pPr>
      <w:r w:rsidRPr="00862FE5">
        <w:rPr>
          <w:rFonts w:ascii="Lato" w:hAnsi="Lato" w:cs="Arial"/>
          <w:color w:val="auto"/>
          <w:sz w:val="20"/>
          <w:szCs w:val="20"/>
        </w:rPr>
        <w:t>Dokładność wykonania murów należy badać metodami opisanymi w Szczegółowej</w:t>
      </w:r>
    </w:p>
    <w:p w14:paraId="24FA77E3"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Specyfikacji Technicznej dla robót murowych.</w:t>
      </w:r>
    </w:p>
    <w:p w14:paraId="37D60C7E"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Równość powierzchni tynków należy sprawdzać metodami podanymi w Szczegółowej Specyfikacji Technicznej dla robót tynkowych.</w:t>
      </w:r>
    </w:p>
    <w:p w14:paraId="29AA0D20"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Wygląd powierzchni podłoży należy oceniać wizualnie, z odległości około 1 m, w rozproszonym świetle dziennym lub sztucznym.</w:t>
      </w:r>
    </w:p>
    <w:p w14:paraId="7BC645CF"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Zapylenie powierzchni (z wyjątkiem powierzchni metalowych) należy oceniać przez przetarcie powierzchni suchą, czystą ręką. W przypadku powierzchni metalowych do przetarcia należy używać czystej szmatki.</w:t>
      </w:r>
    </w:p>
    <w:p w14:paraId="00711774"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Wilgotność podłoży należy oceniać przy użyciu odpowiednich przyrządów. W przypadku wątpliwości należy pobrać próbkę podłoża i określić wilgotność metodą suszarkowo-wagową.</w:t>
      </w:r>
    </w:p>
    <w:p w14:paraId="0D9D7D5C"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Wyniki badań powinny być porównane z wymaganiami podanymi w pkt. 5.3., odnotowane w formie protokołu kontroli, wpisane do dziennika budowy i akceptowane przez inspektora nadzoru.</w:t>
      </w:r>
    </w:p>
    <w:p w14:paraId="6DDED915"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6.2.2. Kontrola jakości materiałów</w:t>
      </w:r>
    </w:p>
    <w:p w14:paraId="06DC5D6C" w14:textId="551F21C0" w:rsidR="006E2DFB" w:rsidRPr="00862FE5" w:rsidRDefault="00AA110B" w:rsidP="00DE22B8">
      <w:pPr>
        <w:spacing w:after="0"/>
        <w:ind w:left="-5" w:right="0"/>
        <w:rPr>
          <w:rFonts w:ascii="Lato" w:hAnsi="Lato" w:cs="Arial"/>
          <w:color w:val="auto"/>
          <w:sz w:val="20"/>
          <w:szCs w:val="20"/>
        </w:rPr>
      </w:pPr>
      <w:r w:rsidRPr="00862FE5">
        <w:rPr>
          <w:rFonts w:ascii="Lato" w:hAnsi="Lato" w:cs="Arial"/>
          <w:color w:val="auto"/>
          <w:sz w:val="20"/>
          <w:szCs w:val="20"/>
        </w:rPr>
        <w:t>Farby i środki gruntujące użyte do malowania powinny odpowiadać normom wymienionym w pkt.</w:t>
      </w:r>
      <w:r w:rsidR="00DE22B8" w:rsidRPr="00862FE5">
        <w:rPr>
          <w:rFonts w:ascii="Lato" w:hAnsi="Lato" w:cs="Arial"/>
          <w:color w:val="auto"/>
          <w:sz w:val="20"/>
          <w:szCs w:val="20"/>
        </w:rPr>
        <w:t xml:space="preserve"> </w:t>
      </w:r>
      <w:r w:rsidRPr="00862FE5">
        <w:rPr>
          <w:rFonts w:ascii="Lato" w:hAnsi="Lato" w:cs="Arial"/>
          <w:color w:val="auto"/>
          <w:sz w:val="20"/>
          <w:szCs w:val="20"/>
        </w:rPr>
        <w:t>2.2.1.-2.2.4.</w:t>
      </w:r>
    </w:p>
    <w:p w14:paraId="4EF8A471"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Bezpośrednio przed użyciem należy sprawdzić:</w:t>
      </w:r>
    </w:p>
    <w:p w14:paraId="17EC100C" w14:textId="77777777" w:rsidR="00DE22B8"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xml:space="preserve">– czy dostawca dostarczył dokumenty świadczące o dopuszczeniu do obrotu i powszechnego lub jednostkowego zastosowania wyrobów używanych w robotach malarskich, </w:t>
      </w:r>
    </w:p>
    <w:p w14:paraId="16345943" w14:textId="77777777" w:rsidR="00DE22B8"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xml:space="preserve">– terminy przydatności do użycia podane na opakowaniach, </w:t>
      </w:r>
    </w:p>
    <w:p w14:paraId="33C96356" w14:textId="56304E30"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wygląd zewnętrzny farby w każdym opakowaniu.</w:t>
      </w:r>
    </w:p>
    <w:p w14:paraId="50511651" w14:textId="77777777" w:rsidR="00DE22B8"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 xml:space="preserve">Ocenę wyglądu zewnętrznego należy przeprowadzać wizualnie. Farba powinna stanowić jednorodną w kolorze i konsystencji mieszaninę. Niedopuszczalne jest stosowanie farb, w których widać: </w:t>
      </w:r>
    </w:p>
    <w:p w14:paraId="4FF49D61" w14:textId="7151204D" w:rsidR="006E2DFB" w:rsidRPr="00862FE5" w:rsidRDefault="00AA110B" w:rsidP="00DE22B8">
      <w:pPr>
        <w:spacing w:after="0"/>
        <w:ind w:right="0"/>
        <w:rPr>
          <w:rFonts w:ascii="Lato" w:hAnsi="Lato" w:cs="Arial"/>
          <w:color w:val="auto"/>
          <w:sz w:val="20"/>
          <w:szCs w:val="20"/>
        </w:rPr>
      </w:pPr>
      <w:r w:rsidRPr="00862FE5">
        <w:rPr>
          <w:rFonts w:ascii="Lato" w:hAnsi="Lato" w:cs="Arial"/>
          <w:color w:val="auto"/>
          <w:sz w:val="20"/>
          <w:szCs w:val="20"/>
        </w:rPr>
        <w:t>a) w przypadku farb ciekłych:</w:t>
      </w:r>
    </w:p>
    <w:p w14:paraId="7646627C" w14:textId="77777777" w:rsidR="006E2DFB" w:rsidRPr="00862FE5" w:rsidRDefault="00AA110B" w:rsidP="004F7B3F">
      <w:pPr>
        <w:numPr>
          <w:ilvl w:val="0"/>
          <w:numId w:val="23"/>
        </w:numPr>
        <w:spacing w:after="0"/>
        <w:ind w:left="572" w:right="0" w:hanging="286"/>
        <w:rPr>
          <w:rFonts w:ascii="Lato" w:hAnsi="Lato" w:cs="Arial"/>
          <w:color w:val="auto"/>
          <w:sz w:val="20"/>
          <w:szCs w:val="20"/>
        </w:rPr>
      </w:pPr>
      <w:r w:rsidRPr="00862FE5">
        <w:rPr>
          <w:rFonts w:ascii="Lato" w:hAnsi="Lato" w:cs="Arial"/>
          <w:color w:val="auto"/>
          <w:sz w:val="20"/>
          <w:szCs w:val="20"/>
        </w:rPr>
        <w:t>skoagulowane spoiwo,</w:t>
      </w:r>
    </w:p>
    <w:p w14:paraId="053D1D7F" w14:textId="77777777" w:rsidR="006E2DFB" w:rsidRPr="00862FE5" w:rsidRDefault="00AA110B" w:rsidP="004F7B3F">
      <w:pPr>
        <w:numPr>
          <w:ilvl w:val="0"/>
          <w:numId w:val="23"/>
        </w:numPr>
        <w:spacing w:after="0"/>
        <w:ind w:left="572" w:right="0" w:hanging="286"/>
        <w:rPr>
          <w:rFonts w:ascii="Lato" w:hAnsi="Lato" w:cs="Arial"/>
          <w:color w:val="auto"/>
          <w:sz w:val="20"/>
          <w:szCs w:val="20"/>
        </w:rPr>
      </w:pPr>
      <w:r w:rsidRPr="00862FE5">
        <w:rPr>
          <w:rFonts w:ascii="Lato" w:hAnsi="Lato" w:cs="Arial"/>
          <w:color w:val="auto"/>
          <w:sz w:val="20"/>
          <w:szCs w:val="20"/>
        </w:rPr>
        <w:t>nieroztarte pigmenty,</w:t>
      </w:r>
    </w:p>
    <w:p w14:paraId="14A13ABA" w14:textId="77777777" w:rsidR="006E2DFB" w:rsidRPr="00862FE5" w:rsidRDefault="00AA110B" w:rsidP="004F7B3F">
      <w:pPr>
        <w:numPr>
          <w:ilvl w:val="0"/>
          <w:numId w:val="23"/>
        </w:numPr>
        <w:spacing w:after="0"/>
        <w:ind w:left="572" w:right="0" w:hanging="286"/>
        <w:rPr>
          <w:rFonts w:ascii="Lato" w:hAnsi="Lato" w:cs="Arial"/>
          <w:color w:val="auto"/>
          <w:sz w:val="20"/>
          <w:szCs w:val="20"/>
        </w:rPr>
      </w:pPr>
      <w:r w:rsidRPr="00862FE5">
        <w:rPr>
          <w:rFonts w:ascii="Lato" w:hAnsi="Lato" w:cs="Arial"/>
          <w:color w:val="auto"/>
          <w:sz w:val="20"/>
          <w:szCs w:val="20"/>
        </w:rPr>
        <w:t>grudki wypełniaczy (z wyjątkiem niektórych farb strukturalnych),</w:t>
      </w:r>
    </w:p>
    <w:p w14:paraId="08569DC8" w14:textId="77777777" w:rsidR="006E2DFB" w:rsidRPr="00862FE5" w:rsidRDefault="00AA110B" w:rsidP="004F7B3F">
      <w:pPr>
        <w:numPr>
          <w:ilvl w:val="0"/>
          <w:numId w:val="23"/>
        </w:numPr>
        <w:spacing w:after="0"/>
        <w:ind w:left="572" w:right="0" w:hanging="286"/>
        <w:rPr>
          <w:rFonts w:ascii="Lato" w:hAnsi="Lato" w:cs="Arial"/>
          <w:color w:val="auto"/>
          <w:sz w:val="20"/>
          <w:szCs w:val="20"/>
        </w:rPr>
      </w:pPr>
      <w:r w:rsidRPr="00862FE5">
        <w:rPr>
          <w:rFonts w:ascii="Lato" w:hAnsi="Lato" w:cs="Arial"/>
          <w:color w:val="auto"/>
          <w:sz w:val="20"/>
          <w:szCs w:val="20"/>
        </w:rPr>
        <w:lastRenderedPageBreak/>
        <w:t>kożuch,</w:t>
      </w:r>
    </w:p>
    <w:p w14:paraId="7DEFBB93" w14:textId="77777777" w:rsidR="006E2DFB" w:rsidRPr="00862FE5" w:rsidRDefault="00AA110B" w:rsidP="004F7B3F">
      <w:pPr>
        <w:numPr>
          <w:ilvl w:val="0"/>
          <w:numId w:val="23"/>
        </w:numPr>
        <w:spacing w:after="0"/>
        <w:ind w:left="572" w:right="0" w:hanging="286"/>
        <w:rPr>
          <w:rFonts w:ascii="Lato" w:hAnsi="Lato" w:cs="Arial"/>
          <w:color w:val="auto"/>
          <w:sz w:val="20"/>
          <w:szCs w:val="20"/>
        </w:rPr>
      </w:pPr>
      <w:r w:rsidRPr="00862FE5">
        <w:rPr>
          <w:rFonts w:ascii="Lato" w:hAnsi="Lato" w:cs="Arial"/>
          <w:color w:val="auto"/>
          <w:sz w:val="20"/>
          <w:szCs w:val="20"/>
        </w:rPr>
        <w:t>ślady pleśni,</w:t>
      </w:r>
    </w:p>
    <w:p w14:paraId="70FBDFE6" w14:textId="77777777" w:rsidR="006E2DFB" w:rsidRPr="00862FE5" w:rsidRDefault="00AA110B" w:rsidP="004F7B3F">
      <w:pPr>
        <w:numPr>
          <w:ilvl w:val="0"/>
          <w:numId w:val="23"/>
        </w:numPr>
        <w:spacing w:after="0"/>
        <w:ind w:left="572" w:right="0" w:hanging="286"/>
        <w:rPr>
          <w:rFonts w:ascii="Lato" w:hAnsi="Lato" w:cs="Arial"/>
          <w:color w:val="auto"/>
          <w:sz w:val="20"/>
          <w:szCs w:val="20"/>
        </w:rPr>
      </w:pPr>
      <w:r w:rsidRPr="00862FE5">
        <w:rPr>
          <w:rFonts w:ascii="Lato" w:hAnsi="Lato" w:cs="Arial"/>
          <w:color w:val="auto"/>
          <w:sz w:val="20"/>
          <w:szCs w:val="20"/>
        </w:rPr>
        <w:t>trwały, nie dający się wymieszać osad,</w:t>
      </w:r>
    </w:p>
    <w:p w14:paraId="09C9712B" w14:textId="77777777" w:rsidR="006E2DFB" w:rsidRPr="00862FE5" w:rsidRDefault="00AA110B" w:rsidP="004F7B3F">
      <w:pPr>
        <w:numPr>
          <w:ilvl w:val="0"/>
          <w:numId w:val="23"/>
        </w:numPr>
        <w:spacing w:after="0"/>
        <w:ind w:left="572" w:right="0" w:hanging="286"/>
        <w:rPr>
          <w:rFonts w:ascii="Lato" w:hAnsi="Lato" w:cs="Arial"/>
          <w:color w:val="auto"/>
          <w:sz w:val="20"/>
          <w:szCs w:val="20"/>
        </w:rPr>
      </w:pPr>
      <w:r w:rsidRPr="00862FE5">
        <w:rPr>
          <w:rFonts w:ascii="Lato" w:hAnsi="Lato" w:cs="Arial"/>
          <w:color w:val="auto"/>
          <w:sz w:val="20"/>
          <w:szCs w:val="20"/>
        </w:rPr>
        <w:t>nadmierne, utrzymujące się spienienie,</w:t>
      </w:r>
    </w:p>
    <w:p w14:paraId="100746C8" w14:textId="77777777" w:rsidR="006E2DFB" w:rsidRPr="00862FE5" w:rsidRDefault="00AA110B" w:rsidP="004F7B3F">
      <w:pPr>
        <w:numPr>
          <w:ilvl w:val="0"/>
          <w:numId w:val="23"/>
        </w:numPr>
        <w:spacing w:after="0"/>
        <w:ind w:left="572" w:right="0" w:hanging="286"/>
        <w:rPr>
          <w:rFonts w:ascii="Lato" w:hAnsi="Lato" w:cs="Arial"/>
          <w:color w:val="auto"/>
          <w:sz w:val="20"/>
          <w:szCs w:val="20"/>
        </w:rPr>
      </w:pPr>
      <w:r w:rsidRPr="00862FE5">
        <w:rPr>
          <w:rFonts w:ascii="Lato" w:hAnsi="Lato" w:cs="Arial"/>
          <w:color w:val="auto"/>
          <w:sz w:val="20"/>
          <w:szCs w:val="20"/>
        </w:rPr>
        <w:t>obce wtrącenia,</w:t>
      </w:r>
    </w:p>
    <w:p w14:paraId="02331710" w14:textId="77777777" w:rsidR="006E2DFB" w:rsidRPr="00862FE5" w:rsidRDefault="00AA110B" w:rsidP="004F7B3F">
      <w:pPr>
        <w:numPr>
          <w:ilvl w:val="0"/>
          <w:numId w:val="23"/>
        </w:numPr>
        <w:spacing w:after="0"/>
        <w:ind w:left="572" w:right="0" w:hanging="286"/>
        <w:rPr>
          <w:rFonts w:ascii="Lato" w:hAnsi="Lato" w:cs="Arial"/>
          <w:color w:val="auto"/>
          <w:sz w:val="20"/>
          <w:szCs w:val="20"/>
        </w:rPr>
      </w:pPr>
      <w:r w:rsidRPr="00862FE5">
        <w:rPr>
          <w:rFonts w:ascii="Lato" w:hAnsi="Lato" w:cs="Arial"/>
          <w:color w:val="auto"/>
          <w:sz w:val="20"/>
          <w:szCs w:val="20"/>
        </w:rPr>
        <w:t>zapach gnilny,</w:t>
      </w:r>
    </w:p>
    <w:p w14:paraId="7D088153"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b) w przypadku farb w postaci suchych mieszanek:</w:t>
      </w:r>
    </w:p>
    <w:p w14:paraId="4A56360E" w14:textId="77777777" w:rsidR="006E2DFB" w:rsidRPr="00862FE5" w:rsidRDefault="00AA110B" w:rsidP="004F7B3F">
      <w:pPr>
        <w:numPr>
          <w:ilvl w:val="2"/>
          <w:numId w:val="24"/>
        </w:numPr>
        <w:spacing w:after="0"/>
        <w:ind w:left="572" w:right="0" w:hanging="286"/>
        <w:rPr>
          <w:rFonts w:ascii="Lato" w:hAnsi="Lato" w:cs="Arial"/>
          <w:color w:val="auto"/>
          <w:sz w:val="20"/>
          <w:szCs w:val="20"/>
        </w:rPr>
      </w:pPr>
      <w:r w:rsidRPr="00862FE5">
        <w:rPr>
          <w:rFonts w:ascii="Lato" w:hAnsi="Lato" w:cs="Arial"/>
          <w:color w:val="auto"/>
          <w:sz w:val="20"/>
          <w:szCs w:val="20"/>
        </w:rPr>
        <w:t>ślady pleśni,</w:t>
      </w:r>
    </w:p>
    <w:p w14:paraId="68648D07" w14:textId="77777777" w:rsidR="006E2DFB" w:rsidRPr="00862FE5" w:rsidRDefault="00AA110B" w:rsidP="004F7B3F">
      <w:pPr>
        <w:numPr>
          <w:ilvl w:val="2"/>
          <w:numId w:val="24"/>
        </w:numPr>
        <w:spacing w:after="0"/>
        <w:ind w:left="572" w:right="0" w:hanging="286"/>
        <w:rPr>
          <w:rFonts w:ascii="Lato" w:hAnsi="Lato" w:cs="Arial"/>
          <w:color w:val="auto"/>
          <w:sz w:val="20"/>
          <w:szCs w:val="20"/>
        </w:rPr>
      </w:pPr>
      <w:r w:rsidRPr="00862FE5">
        <w:rPr>
          <w:rFonts w:ascii="Lato" w:hAnsi="Lato" w:cs="Arial"/>
          <w:color w:val="auto"/>
          <w:sz w:val="20"/>
          <w:szCs w:val="20"/>
        </w:rPr>
        <w:t>zbrylenie, • obce wtrącenia,</w:t>
      </w:r>
    </w:p>
    <w:p w14:paraId="74832C7E" w14:textId="51D21471" w:rsidR="006E2DFB" w:rsidRPr="00862FE5" w:rsidRDefault="00AA110B" w:rsidP="004F7B3F">
      <w:pPr>
        <w:numPr>
          <w:ilvl w:val="2"/>
          <w:numId w:val="24"/>
        </w:numPr>
        <w:spacing w:after="0"/>
        <w:ind w:left="572" w:right="0" w:hanging="286"/>
        <w:rPr>
          <w:rFonts w:ascii="Lato" w:hAnsi="Lato" w:cs="Arial"/>
          <w:color w:val="auto"/>
          <w:sz w:val="20"/>
          <w:szCs w:val="20"/>
        </w:rPr>
      </w:pPr>
      <w:r w:rsidRPr="00862FE5">
        <w:rPr>
          <w:rFonts w:ascii="Lato" w:hAnsi="Lato" w:cs="Arial"/>
          <w:color w:val="auto"/>
          <w:sz w:val="20"/>
          <w:szCs w:val="20"/>
        </w:rPr>
        <w:t>zapach gnilny.</w:t>
      </w:r>
    </w:p>
    <w:p w14:paraId="036705ED" w14:textId="77777777" w:rsidR="00DE22B8" w:rsidRPr="00862FE5" w:rsidRDefault="00DE22B8" w:rsidP="00DE22B8">
      <w:pPr>
        <w:spacing w:after="0"/>
        <w:ind w:left="572" w:right="0" w:firstLine="0"/>
        <w:rPr>
          <w:rFonts w:ascii="Lato" w:hAnsi="Lato" w:cs="Arial"/>
          <w:b/>
          <w:bCs/>
          <w:color w:val="auto"/>
          <w:sz w:val="20"/>
          <w:szCs w:val="20"/>
        </w:rPr>
      </w:pPr>
    </w:p>
    <w:p w14:paraId="674ECDA4" w14:textId="0C5C0AC4" w:rsidR="006E2DFB" w:rsidRPr="00862FE5" w:rsidRDefault="00AA110B" w:rsidP="00DE22B8">
      <w:pPr>
        <w:pStyle w:val="Akapitzlist"/>
        <w:numPr>
          <w:ilvl w:val="1"/>
          <w:numId w:val="21"/>
        </w:numPr>
        <w:tabs>
          <w:tab w:val="center" w:pos="1795"/>
        </w:tabs>
        <w:spacing w:after="0" w:line="248" w:lineRule="auto"/>
        <w:ind w:right="0" w:hanging="582"/>
        <w:jc w:val="left"/>
        <w:rPr>
          <w:rFonts w:ascii="Lato" w:hAnsi="Lato" w:cs="Arial"/>
          <w:b/>
          <w:bCs/>
          <w:color w:val="auto"/>
          <w:sz w:val="20"/>
          <w:szCs w:val="20"/>
        </w:rPr>
      </w:pPr>
      <w:r w:rsidRPr="00862FE5">
        <w:rPr>
          <w:rFonts w:ascii="Lato" w:hAnsi="Lato" w:cs="Arial"/>
          <w:b/>
          <w:bCs/>
          <w:color w:val="auto"/>
          <w:sz w:val="20"/>
          <w:szCs w:val="20"/>
        </w:rPr>
        <w:t>Badania w czasie robót</w:t>
      </w:r>
    </w:p>
    <w:p w14:paraId="5533EDC2" w14:textId="50ABDA95"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Badania w czasie robót polegają na sprawdzaniu zgodności wykonywanych robót malarskich z dokumentacją projektową, wymaganiami niniejszej specyfikacji i instrukcjami producentów farb. Badania te w szczególności powinny dotyczyć sprawdzenia technologii wykonywanych robót w zakresie gruntowania podłoży i nakładania powłok malarskich.</w:t>
      </w:r>
    </w:p>
    <w:p w14:paraId="6BED78C4" w14:textId="77777777" w:rsidR="00DE22B8" w:rsidRPr="00862FE5" w:rsidRDefault="00DE22B8" w:rsidP="00DE22B8">
      <w:pPr>
        <w:spacing w:after="0"/>
        <w:ind w:left="0" w:right="0" w:firstLine="0"/>
        <w:rPr>
          <w:rFonts w:ascii="Lato" w:hAnsi="Lato" w:cs="Arial"/>
          <w:color w:val="auto"/>
          <w:sz w:val="20"/>
          <w:szCs w:val="20"/>
        </w:rPr>
      </w:pPr>
    </w:p>
    <w:p w14:paraId="44351BDE" w14:textId="3A10C040" w:rsidR="006E2DFB" w:rsidRPr="00862FE5" w:rsidRDefault="00AA110B" w:rsidP="00DE22B8">
      <w:pPr>
        <w:pStyle w:val="Akapitzlist"/>
        <w:numPr>
          <w:ilvl w:val="1"/>
          <w:numId w:val="21"/>
        </w:numPr>
        <w:tabs>
          <w:tab w:val="center" w:pos="2237"/>
        </w:tabs>
        <w:spacing w:after="0" w:line="248" w:lineRule="auto"/>
        <w:ind w:right="0" w:hanging="582"/>
        <w:jc w:val="left"/>
        <w:rPr>
          <w:rFonts w:ascii="Lato" w:hAnsi="Lato" w:cs="Arial"/>
          <w:b/>
          <w:bCs/>
          <w:color w:val="auto"/>
          <w:sz w:val="20"/>
          <w:szCs w:val="20"/>
        </w:rPr>
      </w:pPr>
      <w:r w:rsidRPr="00862FE5">
        <w:rPr>
          <w:rFonts w:ascii="Lato" w:hAnsi="Lato" w:cs="Arial"/>
          <w:b/>
          <w:bCs/>
          <w:color w:val="auto"/>
          <w:sz w:val="20"/>
          <w:szCs w:val="20"/>
        </w:rPr>
        <w:t>Badania w czasie odbioru robót</w:t>
      </w:r>
    </w:p>
    <w:p w14:paraId="447AFF2C"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6.4.1. Zakres i warunki wykonywania badań</w:t>
      </w:r>
    </w:p>
    <w:p w14:paraId="3D9C0790"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Badania w czasie odbioru robót przeprowadza się celem oceny czy spełnione zostały wszystkie wymagania dotyczące wykonanych robót malarskich, w szczególności w zakresie:</w:t>
      </w:r>
    </w:p>
    <w:p w14:paraId="25DAEB37" w14:textId="77777777" w:rsidR="006E2DFB" w:rsidRPr="00862FE5" w:rsidRDefault="00AA110B" w:rsidP="004F7B3F">
      <w:pPr>
        <w:numPr>
          <w:ilvl w:val="0"/>
          <w:numId w:val="25"/>
        </w:numPr>
        <w:spacing w:after="0"/>
        <w:ind w:right="2362" w:hanging="286"/>
        <w:jc w:val="left"/>
        <w:rPr>
          <w:rFonts w:ascii="Lato" w:hAnsi="Lato" w:cs="Arial"/>
          <w:color w:val="auto"/>
          <w:sz w:val="20"/>
          <w:szCs w:val="20"/>
        </w:rPr>
      </w:pPr>
      <w:r w:rsidRPr="00862FE5">
        <w:rPr>
          <w:rFonts w:ascii="Lato" w:hAnsi="Lato" w:cs="Arial"/>
          <w:color w:val="auto"/>
          <w:sz w:val="20"/>
          <w:szCs w:val="20"/>
        </w:rPr>
        <w:t>zgodności z dokumentacją projektową, Szczegółową Specyfikacją Techniczną wraz z wprowadzonymi zmianami naniesionymi w dokumentacji powykonawczej,</w:t>
      </w:r>
    </w:p>
    <w:p w14:paraId="5A7E76E5" w14:textId="77777777" w:rsidR="006E2DFB" w:rsidRPr="00862FE5" w:rsidRDefault="00AA110B" w:rsidP="004F7B3F">
      <w:pPr>
        <w:numPr>
          <w:ilvl w:val="0"/>
          <w:numId w:val="25"/>
        </w:numPr>
        <w:spacing w:after="0" w:line="228" w:lineRule="auto"/>
        <w:ind w:right="2362" w:hanging="286"/>
        <w:jc w:val="left"/>
        <w:rPr>
          <w:rFonts w:ascii="Lato" w:hAnsi="Lato" w:cs="Arial"/>
          <w:color w:val="auto"/>
          <w:sz w:val="20"/>
          <w:szCs w:val="20"/>
        </w:rPr>
      </w:pPr>
      <w:r w:rsidRPr="00862FE5">
        <w:rPr>
          <w:rFonts w:ascii="Lato" w:hAnsi="Lato" w:cs="Arial"/>
          <w:color w:val="auto"/>
          <w:sz w:val="20"/>
          <w:szCs w:val="20"/>
        </w:rPr>
        <w:t>jakości zastosowanych materiałów i wyrobów, – prawidłowości przygotowania podłoży, – jakości powłok malarskich.</w:t>
      </w:r>
    </w:p>
    <w:p w14:paraId="40A407D5"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Przy badaniach w czasie odbioru robót należy wykorzystywać wyniki badań dokonanych przed przystąpieniem do robót i w trakcie ich wykonywania oraz zapisy w dzienniku budowy dotyczące wykonanych robót.</w:t>
      </w:r>
    </w:p>
    <w:p w14:paraId="6FCD4BA5"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Badania powłok przy ich odbiorze należy przeprowadzać nie wcześniej niż po 14 dniach od zakończenia ich wykonywania.</w:t>
      </w:r>
    </w:p>
    <w:p w14:paraId="31DBEDE8"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Badania techniczne należy przeprowadzać w temperaturze powietrza co najmniej +5°C i przy wilgotności względnej powietrza nie przekraczającej 65%.</w:t>
      </w:r>
    </w:p>
    <w:p w14:paraId="5D42A596"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Ocena jakości powłok malarskich obejmuje:</w:t>
      </w:r>
    </w:p>
    <w:p w14:paraId="60D75032" w14:textId="77777777" w:rsidR="006E2DFB" w:rsidRPr="00862FE5" w:rsidRDefault="00AA110B" w:rsidP="004F7B3F">
      <w:pPr>
        <w:numPr>
          <w:ilvl w:val="1"/>
          <w:numId w:val="25"/>
        </w:numPr>
        <w:spacing w:after="0"/>
        <w:ind w:left="572" w:right="0" w:hanging="286"/>
        <w:rPr>
          <w:rFonts w:ascii="Lato" w:hAnsi="Lato" w:cs="Arial"/>
          <w:color w:val="auto"/>
          <w:sz w:val="20"/>
          <w:szCs w:val="20"/>
        </w:rPr>
      </w:pPr>
      <w:r w:rsidRPr="00862FE5">
        <w:rPr>
          <w:rFonts w:ascii="Lato" w:hAnsi="Lato" w:cs="Arial"/>
          <w:color w:val="auto"/>
          <w:sz w:val="20"/>
          <w:szCs w:val="20"/>
        </w:rPr>
        <w:t>sprawdzenie wyglądu zewnętrznego,</w:t>
      </w:r>
    </w:p>
    <w:p w14:paraId="3F2C6CCD" w14:textId="77777777" w:rsidR="006E2DFB" w:rsidRPr="00862FE5" w:rsidRDefault="00AA110B" w:rsidP="004F7B3F">
      <w:pPr>
        <w:numPr>
          <w:ilvl w:val="1"/>
          <w:numId w:val="25"/>
        </w:numPr>
        <w:spacing w:after="0"/>
        <w:ind w:left="572" w:right="0" w:hanging="286"/>
        <w:rPr>
          <w:rFonts w:ascii="Lato" w:hAnsi="Lato" w:cs="Arial"/>
          <w:color w:val="auto"/>
          <w:sz w:val="20"/>
          <w:szCs w:val="20"/>
        </w:rPr>
      </w:pPr>
      <w:r w:rsidRPr="00862FE5">
        <w:rPr>
          <w:rFonts w:ascii="Lato" w:hAnsi="Lato" w:cs="Arial"/>
          <w:color w:val="auto"/>
          <w:sz w:val="20"/>
          <w:szCs w:val="20"/>
        </w:rPr>
        <w:t>sprawdzenie zgodności barwy i połysku,</w:t>
      </w:r>
    </w:p>
    <w:p w14:paraId="2656B7C3" w14:textId="77777777" w:rsidR="006E2DFB" w:rsidRPr="00862FE5" w:rsidRDefault="00AA110B" w:rsidP="004F7B3F">
      <w:pPr>
        <w:numPr>
          <w:ilvl w:val="1"/>
          <w:numId w:val="25"/>
        </w:numPr>
        <w:spacing w:after="0"/>
        <w:ind w:left="572" w:right="0" w:hanging="286"/>
        <w:rPr>
          <w:rFonts w:ascii="Lato" w:hAnsi="Lato" w:cs="Arial"/>
          <w:color w:val="auto"/>
          <w:sz w:val="20"/>
          <w:szCs w:val="20"/>
        </w:rPr>
      </w:pPr>
      <w:r w:rsidRPr="00862FE5">
        <w:rPr>
          <w:rFonts w:ascii="Lato" w:hAnsi="Lato" w:cs="Arial"/>
          <w:color w:val="auto"/>
          <w:sz w:val="20"/>
          <w:szCs w:val="20"/>
        </w:rPr>
        <w:t>sprawdzenie odporności na wycieranie,</w:t>
      </w:r>
    </w:p>
    <w:p w14:paraId="67D46BA9" w14:textId="77777777" w:rsidR="006E2DFB" w:rsidRPr="00862FE5" w:rsidRDefault="00AA110B" w:rsidP="004F7B3F">
      <w:pPr>
        <w:numPr>
          <w:ilvl w:val="1"/>
          <w:numId w:val="25"/>
        </w:numPr>
        <w:spacing w:after="0"/>
        <w:ind w:left="572" w:right="0" w:hanging="286"/>
        <w:rPr>
          <w:rFonts w:ascii="Lato" w:hAnsi="Lato" w:cs="Arial"/>
          <w:color w:val="auto"/>
          <w:sz w:val="20"/>
          <w:szCs w:val="20"/>
        </w:rPr>
      </w:pPr>
      <w:r w:rsidRPr="00862FE5">
        <w:rPr>
          <w:rFonts w:ascii="Lato" w:hAnsi="Lato" w:cs="Arial"/>
          <w:color w:val="auto"/>
          <w:sz w:val="20"/>
          <w:szCs w:val="20"/>
        </w:rPr>
        <w:t>sprawdzenie przyczepności powłoki, • sprawdzenie odporności na zmywanie.</w:t>
      </w:r>
    </w:p>
    <w:p w14:paraId="5B331898"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6.4.2. Opis badań</w:t>
      </w:r>
    </w:p>
    <w:p w14:paraId="52437621"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Metody przeprowadzania badań powłok malarskich w czasie odbioru robót:</w:t>
      </w:r>
    </w:p>
    <w:p w14:paraId="0117B3F2" w14:textId="103EF3F6" w:rsidR="006E2DFB" w:rsidRPr="00862FE5" w:rsidRDefault="00AA110B" w:rsidP="004F7B3F">
      <w:pPr>
        <w:numPr>
          <w:ilvl w:val="0"/>
          <w:numId w:val="26"/>
        </w:numPr>
        <w:spacing w:after="0"/>
        <w:ind w:right="0" w:hanging="346"/>
        <w:rPr>
          <w:rFonts w:ascii="Lato" w:hAnsi="Lato" w:cs="Arial"/>
          <w:color w:val="auto"/>
          <w:sz w:val="20"/>
          <w:szCs w:val="20"/>
        </w:rPr>
      </w:pPr>
      <w:r w:rsidRPr="00862FE5">
        <w:rPr>
          <w:rFonts w:ascii="Lato" w:hAnsi="Lato" w:cs="Arial"/>
          <w:color w:val="auto"/>
          <w:sz w:val="20"/>
          <w:szCs w:val="20"/>
        </w:rPr>
        <w:t>sprawdzenie wyglądu zewnętrznego – wizualnie, okiem nieuzbrojonym w świetle</w:t>
      </w:r>
      <w:r w:rsidR="00DE22B8" w:rsidRPr="00862FE5">
        <w:rPr>
          <w:rFonts w:ascii="Lato" w:hAnsi="Lato" w:cs="Arial"/>
          <w:color w:val="auto"/>
          <w:sz w:val="20"/>
          <w:szCs w:val="20"/>
        </w:rPr>
        <w:t xml:space="preserve"> </w:t>
      </w:r>
      <w:r w:rsidRPr="00862FE5">
        <w:rPr>
          <w:rFonts w:ascii="Lato" w:hAnsi="Lato" w:cs="Arial"/>
          <w:color w:val="auto"/>
          <w:sz w:val="20"/>
          <w:szCs w:val="20"/>
        </w:rPr>
        <w:t>rozproszonym z odległości około 0,5 m,</w:t>
      </w:r>
    </w:p>
    <w:p w14:paraId="055F0A3B" w14:textId="5A21E87A" w:rsidR="006E2DFB" w:rsidRPr="00862FE5" w:rsidRDefault="00AA110B" w:rsidP="004F7B3F">
      <w:pPr>
        <w:numPr>
          <w:ilvl w:val="0"/>
          <w:numId w:val="26"/>
        </w:numPr>
        <w:spacing w:after="0"/>
        <w:ind w:right="0" w:hanging="346"/>
        <w:rPr>
          <w:rFonts w:ascii="Lato" w:hAnsi="Lato" w:cs="Arial"/>
          <w:color w:val="auto"/>
          <w:sz w:val="20"/>
          <w:szCs w:val="20"/>
        </w:rPr>
      </w:pPr>
      <w:r w:rsidRPr="00862FE5">
        <w:rPr>
          <w:rFonts w:ascii="Lato" w:hAnsi="Lato" w:cs="Arial"/>
          <w:color w:val="auto"/>
          <w:sz w:val="20"/>
          <w:szCs w:val="20"/>
        </w:rPr>
        <w:t>sprawdzenie zgodności barwy i połysku – przez porównanie w świetle rozproszonym barwy i</w:t>
      </w:r>
      <w:r w:rsidR="00DE22B8" w:rsidRPr="00862FE5">
        <w:rPr>
          <w:rFonts w:ascii="Lato" w:hAnsi="Lato" w:cs="Arial"/>
          <w:color w:val="auto"/>
          <w:sz w:val="20"/>
          <w:szCs w:val="20"/>
        </w:rPr>
        <w:t xml:space="preserve"> </w:t>
      </w:r>
      <w:r w:rsidRPr="00862FE5">
        <w:rPr>
          <w:rFonts w:ascii="Lato" w:hAnsi="Lato" w:cs="Arial"/>
          <w:color w:val="auto"/>
          <w:sz w:val="20"/>
          <w:szCs w:val="20"/>
        </w:rPr>
        <w:t>połysku wyschniętej powłoki z wzorcem producenta,</w:t>
      </w:r>
    </w:p>
    <w:p w14:paraId="2A183F92" w14:textId="61E06E6E" w:rsidR="006E2DFB" w:rsidRPr="00862FE5" w:rsidRDefault="00AA110B" w:rsidP="004F7B3F">
      <w:pPr>
        <w:numPr>
          <w:ilvl w:val="0"/>
          <w:numId w:val="26"/>
        </w:numPr>
        <w:spacing w:after="0"/>
        <w:ind w:right="0" w:hanging="346"/>
        <w:rPr>
          <w:rFonts w:ascii="Lato" w:hAnsi="Lato" w:cs="Arial"/>
          <w:color w:val="auto"/>
          <w:sz w:val="20"/>
          <w:szCs w:val="20"/>
        </w:rPr>
      </w:pPr>
      <w:r w:rsidRPr="00862FE5">
        <w:rPr>
          <w:rFonts w:ascii="Lato" w:hAnsi="Lato" w:cs="Arial"/>
          <w:color w:val="auto"/>
          <w:sz w:val="20"/>
          <w:szCs w:val="20"/>
        </w:rPr>
        <w:t>sprawdzenie odporności powłoki na wycieranie – przez lekkie, kilkukrotne pocieranie jej</w:t>
      </w:r>
      <w:r w:rsidR="00DE22B8" w:rsidRPr="00862FE5">
        <w:rPr>
          <w:rFonts w:ascii="Lato" w:hAnsi="Lato" w:cs="Arial"/>
          <w:color w:val="auto"/>
          <w:sz w:val="20"/>
          <w:szCs w:val="20"/>
        </w:rPr>
        <w:t xml:space="preserve"> </w:t>
      </w:r>
      <w:r w:rsidRPr="00862FE5">
        <w:rPr>
          <w:rFonts w:ascii="Lato" w:hAnsi="Lato" w:cs="Arial"/>
          <w:color w:val="auto"/>
          <w:sz w:val="20"/>
          <w:szCs w:val="20"/>
        </w:rPr>
        <w:t>powierzchni wełnianą lub bawełnianą szmatką w kolorze kontrastowym do powłoki. Powłokę należy uznać za odporną na wycieranie, jeżeli na szmatce nie wystąpiły ślady farby,</w:t>
      </w:r>
    </w:p>
    <w:p w14:paraId="7F4B839C" w14:textId="77777777" w:rsidR="006E2DFB" w:rsidRPr="00862FE5" w:rsidRDefault="00AA110B" w:rsidP="004F7B3F">
      <w:pPr>
        <w:numPr>
          <w:ilvl w:val="0"/>
          <w:numId w:val="26"/>
        </w:numPr>
        <w:spacing w:after="0"/>
        <w:ind w:right="0" w:hanging="346"/>
        <w:rPr>
          <w:rFonts w:ascii="Lato" w:hAnsi="Lato" w:cs="Arial"/>
          <w:color w:val="auto"/>
          <w:sz w:val="20"/>
          <w:szCs w:val="20"/>
        </w:rPr>
      </w:pPr>
      <w:r w:rsidRPr="00862FE5">
        <w:rPr>
          <w:rFonts w:ascii="Lato" w:hAnsi="Lato" w:cs="Arial"/>
          <w:color w:val="auto"/>
          <w:sz w:val="20"/>
          <w:szCs w:val="20"/>
        </w:rPr>
        <w:t>sprawdzenie przyczepności powłoki:</w:t>
      </w:r>
    </w:p>
    <w:p w14:paraId="0F04E1BC" w14:textId="79F95131" w:rsidR="006E2DFB" w:rsidRPr="00862FE5" w:rsidRDefault="00AA110B" w:rsidP="004F7B3F">
      <w:pPr>
        <w:numPr>
          <w:ilvl w:val="1"/>
          <w:numId w:val="26"/>
        </w:numPr>
        <w:spacing w:after="0"/>
        <w:ind w:right="0" w:hanging="346"/>
        <w:rPr>
          <w:rFonts w:ascii="Lato" w:hAnsi="Lato" w:cs="Arial"/>
          <w:color w:val="auto"/>
          <w:sz w:val="20"/>
          <w:szCs w:val="20"/>
        </w:rPr>
      </w:pPr>
      <w:r w:rsidRPr="00862FE5">
        <w:rPr>
          <w:rFonts w:ascii="Lato" w:hAnsi="Lato" w:cs="Arial"/>
          <w:color w:val="auto"/>
          <w:sz w:val="20"/>
          <w:szCs w:val="20"/>
        </w:rPr>
        <w:t>na podłożach mineralnych i mineralno-włóknistych – przez wykonanie skalpelem siatki nacięć prostopadłych o boku oczka 5 mm, po 10 oczek w każdą stronę a następnie przetarciu pędzlem naciętej powłoki; przyczepność powłoki należy uznać za dobrą, jeżeli żaden z kwadracików nie wypadnie,</w:t>
      </w:r>
    </w:p>
    <w:p w14:paraId="4954B44D" w14:textId="77777777" w:rsidR="006E2DFB" w:rsidRPr="00862FE5" w:rsidRDefault="00AA110B" w:rsidP="004F7B3F">
      <w:pPr>
        <w:numPr>
          <w:ilvl w:val="1"/>
          <w:numId w:val="26"/>
        </w:numPr>
        <w:spacing w:after="0"/>
        <w:ind w:right="0" w:hanging="346"/>
        <w:rPr>
          <w:rFonts w:ascii="Lato" w:hAnsi="Lato" w:cs="Arial"/>
          <w:color w:val="auto"/>
          <w:sz w:val="20"/>
          <w:szCs w:val="20"/>
        </w:rPr>
      </w:pPr>
      <w:r w:rsidRPr="00862FE5">
        <w:rPr>
          <w:rFonts w:ascii="Lato" w:hAnsi="Lato" w:cs="Arial"/>
          <w:color w:val="auto"/>
          <w:sz w:val="20"/>
          <w:szCs w:val="20"/>
        </w:rPr>
        <w:t>na podłożach drewnianych i metalowych – metodą opisaną w normie PN-EN ISO</w:t>
      </w:r>
    </w:p>
    <w:p w14:paraId="5195C0FE" w14:textId="77777777" w:rsidR="006E2DFB" w:rsidRPr="00862FE5" w:rsidRDefault="00AA110B" w:rsidP="004F7B3F">
      <w:pPr>
        <w:spacing w:after="0"/>
        <w:ind w:left="656" w:right="0"/>
        <w:rPr>
          <w:rFonts w:ascii="Lato" w:hAnsi="Lato" w:cs="Arial"/>
          <w:color w:val="auto"/>
          <w:sz w:val="20"/>
          <w:szCs w:val="20"/>
        </w:rPr>
      </w:pPr>
      <w:r w:rsidRPr="00862FE5">
        <w:rPr>
          <w:rFonts w:ascii="Lato" w:hAnsi="Lato" w:cs="Arial"/>
          <w:color w:val="auto"/>
          <w:sz w:val="20"/>
          <w:szCs w:val="20"/>
        </w:rPr>
        <w:t>2409:2008,</w:t>
      </w:r>
    </w:p>
    <w:p w14:paraId="7919B400" w14:textId="3A48321C" w:rsidR="006E2DFB" w:rsidRPr="00862FE5" w:rsidRDefault="00AA110B" w:rsidP="004F7B3F">
      <w:pPr>
        <w:numPr>
          <w:ilvl w:val="0"/>
          <w:numId w:val="26"/>
        </w:numPr>
        <w:spacing w:after="0"/>
        <w:ind w:right="0" w:hanging="346"/>
        <w:rPr>
          <w:rFonts w:ascii="Lato" w:hAnsi="Lato" w:cs="Arial"/>
          <w:color w:val="auto"/>
          <w:sz w:val="20"/>
          <w:szCs w:val="20"/>
        </w:rPr>
      </w:pPr>
      <w:r w:rsidRPr="00862FE5">
        <w:rPr>
          <w:rFonts w:ascii="Lato" w:hAnsi="Lato" w:cs="Arial"/>
          <w:color w:val="auto"/>
          <w:sz w:val="20"/>
          <w:szCs w:val="20"/>
        </w:rPr>
        <w:t>sprawdzenie odporności na zmywanie – przez pięciokrotne silne potarcie powłoki mokrą</w:t>
      </w:r>
      <w:r w:rsidR="00DE22B8" w:rsidRPr="00862FE5">
        <w:rPr>
          <w:rFonts w:ascii="Lato" w:hAnsi="Lato" w:cs="Arial"/>
          <w:color w:val="auto"/>
          <w:sz w:val="20"/>
          <w:szCs w:val="20"/>
        </w:rPr>
        <w:t xml:space="preserve"> </w:t>
      </w:r>
      <w:r w:rsidRPr="00862FE5">
        <w:rPr>
          <w:rFonts w:ascii="Lato" w:hAnsi="Lato" w:cs="Arial"/>
          <w:color w:val="auto"/>
          <w:sz w:val="20"/>
          <w:szCs w:val="20"/>
        </w:rPr>
        <w:t>na</w:t>
      </w:r>
      <w:r w:rsidR="00DE22B8" w:rsidRPr="00862FE5">
        <w:rPr>
          <w:rFonts w:ascii="Lato" w:hAnsi="Lato" w:cs="Arial"/>
          <w:color w:val="auto"/>
          <w:sz w:val="20"/>
          <w:szCs w:val="20"/>
        </w:rPr>
        <w:t xml:space="preserve"> </w:t>
      </w:r>
      <w:r w:rsidRPr="00862FE5">
        <w:rPr>
          <w:rFonts w:ascii="Lato" w:hAnsi="Lato" w:cs="Arial"/>
          <w:color w:val="auto"/>
          <w:sz w:val="20"/>
          <w:szCs w:val="20"/>
        </w:rPr>
        <w:t>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w:t>
      </w:r>
    </w:p>
    <w:p w14:paraId="6A1B5B22" w14:textId="23C779A2"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Wyniki badań powinny być porównane z wymaganiami podanymi w pkt. 5.5. i opisane w dzienniku budowy i protokole podpisanym przez przedstawicieli inwestora (zamawiającego) oraz wykonawcy.</w:t>
      </w:r>
    </w:p>
    <w:p w14:paraId="36920A27" w14:textId="77777777" w:rsidR="00DE22B8" w:rsidRPr="00862FE5" w:rsidRDefault="00DE22B8" w:rsidP="004F7B3F">
      <w:pPr>
        <w:spacing w:after="0"/>
        <w:ind w:left="-15" w:right="0" w:firstLine="286"/>
        <w:rPr>
          <w:rFonts w:ascii="Lato" w:hAnsi="Lato" w:cs="Arial"/>
          <w:color w:val="auto"/>
          <w:sz w:val="20"/>
          <w:szCs w:val="20"/>
        </w:rPr>
      </w:pPr>
    </w:p>
    <w:p w14:paraId="3684205D" w14:textId="47FF4C0D" w:rsidR="006E2DFB" w:rsidRPr="00862FE5" w:rsidRDefault="00AA110B" w:rsidP="004F7B3F">
      <w:pPr>
        <w:numPr>
          <w:ilvl w:val="0"/>
          <w:numId w:val="27"/>
        </w:numPr>
        <w:spacing w:after="0" w:line="248" w:lineRule="auto"/>
        <w:ind w:right="0" w:hanging="360"/>
        <w:jc w:val="left"/>
        <w:rPr>
          <w:rFonts w:ascii="Lato" w:hAnsi="Lato" w:cs="Arial"/>
          <w:b/>
          <w:bCs/>
          <w:color w:val="auto"/>
          <w:sz w:val="20"/>
          <w:szCs w:val="20"/>
        </w:rPr>
      </w:pPr>
      <w:r w:rsidRPr="00862FE5">
        <w:rPr>
          <w:rFonts w:ascii="Lato" w:hAnsi="Lato" w:cs="Arial"/>
          <w:b/>
          <w:bCs/>
          <w:color w:val="auto"/>
          <w:sz w:val="20"/>
          <w:szCs w:val="20"/>
        </w:rPr>
        <w:t>WYMAGANIA DOTYCZĄCE PRZEDMIARU I OBMIARU ROBÓT</w:t>
      </w:r>
    </w:p>
    <w:p w14:paraId="28157A8C" w14:textId="77777777" w:rsidR="00DE22B8" w:rsidRPr="00862FE5" w:rsidRDefault="00DE22B8" w:rsidP="00DE22B8">
      <w:pPr>
        <w:spacing w:after="0" w:line="248" w:lineRule="auto"/>
        <w:ind w:left="360" w:right="0" w:firstLine="0"/>
        <w:jc w:val="left"/>
        <w:rPr>
          <w:rFonts w:ascii="Lato" w:hAnsi="Lato" w:cs="Arial"/>
          <w:b/>
          <w:bCs/>
          <w:color w:val="auto"/>
          <w:sz w:val="20"/>
          <w:szCs w:val="20"/>
        </w:rPr>
      </w:pPr>
    </w:p>
    <w:p w14:paraId="05DA50AD" w14:textId="659F1DB4" w:rsidR="006E2DFB" w:rsidRPr="00862FE5" w:rsidRDefault="00AA110B" w:rsidP="004F7B3F">
      <w:pPr>
        <w:numPr>
          <w:ilvl w:val="1"/>
          <w:numId w:val="27"/>
        </w:numPr>
        <w:spacing w:after="0" w:line="248" w:lineRule="auto"/>
        <w:ind w:right="0" w:hanging="571"/>
        <w:jc w:val="left"/>
        <w:rPr>
          <w:rFonts w:ascii="Lato" w:hAnsi="Lato" w:cs="Arial"/>
          <w:color w:val="auto"/>
          <w:sz w:val="20"/>
          <w:szCs w:val="20"/>
        </w:rPr>
      </w:pPr>
      <w:r w:rsidRPr="00862FE5">
        <w:rPr>
          <w:rFonts w:ascii="Lato" w:hAnsi="Lato" w:cs="Arial"/>
          <w:color w:val="auto"/>
          <w:sz w:val="20"/>
          <w:szCs w:val="20"/>
        </w:rPr>
        <w:lastRenderedPageBreak/>
        <w:t>Ogólne zasady przedmiaru i obmiaru podano w ST „Wymagania ogólne” Kod CPV 45000000-7, pkt 7</w:t>
      </w:r>
    </w:p>
    <w:p w14:paraId="2443617A" w14:textId="77777777" w:rsidR="00DE22B8" w:rsidRPr="00862FE5" w:rsidRDefault="00DE22B8" w:rsidP="00DE22B8">
      <w:pPr>
        <w:spacing w:after="0" w:line="248" w:lineRule="auto"/>
        <w:ind w:left="1291" w:right="0" w:firstLine="0"/>
        <w:jc w:val="left"/>
        <w:rPr>
          <w:rFonts w:ascii="Lato" w:hAnsi="Lato" w:cs="Arial"/>
          <w:color w:val="auto"/>
          <w:sz w:val="20"/>
          <w:szCs w:val="20"/>
        </w:rPr>
      </w:pPr>
    </w:p>
    <w:p w14:paraId="2355BBDD" w14:textId="77777777" w:rsidR="006E2DFB" w:rsidRPr="00862FE5" w:rsidRDefault="00AA110B" w:rsidP="004F7B3F">
      <w:pPr>
        <w:numPr>
          <w:ilvl w:val="1"/>
          <w:numId w:val="27"/>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Szczegółowe zasady obmiaru robót malarskich</w:t>
      </w:r>
    </w:p>
    <w:p w14:paraId="2B14DDE9"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Powierzchnię malowania oblicza się w metrach kwadratowych w rozwinięciu, według rzeczywistych wymiarów. Z obliczonej powierzchni nie potrąca się otworów i miejsc nie malowanych o powierzchni każdego z nich do 0,5 m</w:t>
      </w:r>
      <w:r w:rsidRPr="00862FE5">
        <w:rPr>
          <w:rFonts w:ascii="Lato" w:hAnsi="Lato" w:cs="Arial"/>
          <w:color w:val="auto"/>
          <w:sz w:val="20"/>
          <w:szCs w:val="20"/>
          <w:vertAlign w:val="superscript"/>
        </w:rPr>
        <w:t>2</w:t>
      </w:r>
      <w:r w:rsidRPr="00862FE5">
        <w:rPr>
          <w:rFonts w:ascii="Lato" w:hAnsi="Lato" w:cs="Arial"/>
          <w:color w:val="auto"/>
          <w:sz w:val="20"/>
          <w:szCs w:val="20"/>
        </w:rPr>
        <w:t>.</w:t>
      </w:r>
    </w:p>
    <w:p w14:paraId="5A91F834"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Dla ścian i sufitów z profilami ciągnionymi lub ozdobami, okien i drzwi, elementów ażurowych, grzejników i rur należy stosować uproszczone metody obmiaru.</w:t>
      </w:r>
    </w:p>
    <w:p w14:paraId="2CEBC473"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Dla ścian i sufitów z profilami ciągnionymi lub wklejonymi ozdobami uproszczony sposób ich obmiaru polega na obliczeniu powierzchni rzutu i zwiększeniu uzyskanego wyniku przez zastosowanie współczynników podanych w tablicy 2.</w:t>
      </w:r>
    </w:p>
    <w:p w14:paraId="6BDC3648"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Tablica 2. Współczynniki przeliczeniowe dla powierzchni z ozdobami</w:t>
      </w:r>
    </w:p>
    <w:tbl>
      <w:tblPr>
        <w:tblStyle w:val="TableGrid"/>
        <w:tblW w:w="8051" w:type="dxa"/>
        <w:tblInd w:w="8" w:type="dxa"/>
        <w:tblCellMar>
          <w:top w:w="67" w:type="dxa"/>
          <w:left w:w="106" w:type="dxa"/>
          <w:right w:w="109" w:type="dxa"/>
        </w:tblCellMar>
        <w:tblLook w:val="04A0" w:firstRow="1" w:lastRow="0" w:firstColumn="1" w:lastColumn="0" w:noHBand="0" w:noVBand="1"/>
      </w:tblPr>
      <w:tblGrid>
        <w:gridCol w:w="537"/>
        <w:gridCol w:w="5671"/>
        <w:gridCol w:w="1843"/>
      </w:tblGrid>
      <w:tr w:rsidR="00C12CF0" w:rsidRPr="00862FE5" w14:paraId="7574CD5B" w14:textId="77777777">
        <w:trPr>
          <w:trHeight w:val="628"/>
        </w:trPr>
        <w:tc>
          <w:tcPr>
            <w:tcW w:w="537" w:type="dxa"/>
            <w:tcBorders>
              <w:top w:val="single" w:sz="7" w:space="0" w:color="000000"/>
              <w:left w:val="single" w:sz="7" w:space="0" w:color="000000"/>
              <w:bottom w:val="single" w:sz="7" w:space="0" w:color="000000"/>
              <w:right w:val="single" w:sz="7" w:space="0" w:color="000000"/>
            </w:tcBorders>
            <w:shd w:val="clear" w:color="auto" w:fill="D9D9D9"/>
            <w:vAlign w:val="center"/>
          </w:tcPr>
          <w:p w14:paraId="7A1B656F" w14:textId="77777777" w:rsidR="006E2DFB" w:rsidRPr="00862FE5" w:rsidRDefault="00AA110B" w:rsidP="004F7B3F">
            <w:pPr>
              <w:spacing w:after="0" w:line="259" w:lineRule="auto"/>
              <w:ind w:left="9" w:right="0" w:firstLine="0"/>
              <w:jc w:val="left"/>
              <w:rPr>
                <w:rFonts w:ascii="Lato" w:hAnsi="Lato" w:cs="Arial"/>
                <w:color w:val="auto"/>
                <w:sz w:val="20"/>
                <w:szCs w:val="20"/>
              </w:rPr>
            </w:pPr>
            <w:r w:rsidRPr="00862FE5">
              <w:rPr>
                <w:rFonts w:ascii="Lato" w:hAnsi="Lato" w:cs="Arial"/>
                <w:color w:val="auto"/>
                <w:sz w:val="20"/>
                <w:szCs w:val="20"/>
              </w:rPr>
              <w:t>Lp.</w:t>
            </w:r>
          </w:p>
        </w:tc>
        <w:tc>
          <w:tcPr>
            <w:tcW w:w="5671" w:type="dxa"/>
            <w:tcBorders>
              <w:top w:val="single" w:sz="7" w:space="0" w:color="000000"/>
              <w:left w:val="single" w:sz="7" w:space="0" w:color="000000"/>
              <w:bottom w:val="single" w:sz="7" w:space="0" w:color="000000"/>
              <w:right w:val="single" w:sz="7" w:space="0" w:color="000000"/>
            </w:tcBorders>
            <w:shd w:val="clear" w:color="auto" w:fill="D9D9D9"/>
          </w:tcPr>
          <w:p w14:paraId="080F4824" w14:textId="77777777" w:rsidR="006E2DFB" w:rsidRPr="00862FE5" w:rsidRDefault="00AA110B" w:rsidP="004F7B3F">
            <w:pPr>
              <w:spacing w:after="0" w:line="259" w:lineRule="auto"/>
              <w:ind w:left="0" w:right="0" w:firstLine="0"/>
              <w:jc w:val="center"/>
              <w:rPr>
                <w:rFonts w:ascii="Lato" w:hAnsi="Lato" w:cs="Arial"/>
                <w:color w:val="auto"/>
                <w:sz w:val="20"/>
                <w:szCs w:val="20"/>
              </w:rPr>
            </w:pPr>
            <w:r w:rsidRPr="00862FE5">
              <w:rPr>
                <w:rFonts w:ascii="Lato" w:hAnsi="Lato" w:cs="Arial"/>
                <w:color w:val="auto"/>
                <w:sz w:val="20"/>
                <w:szCs w:val="20"/>
              </w:rPr>
              <w:t>Stosunek rzutu powierzchni ozdób  do całej powierzchni ściany lub sufitu</w:t>
            </w:r>
          </w:p>
        </w:tc>
        <w:tc>
          <w:tcPr>
            <w:tcW w:w="1843" w:type="dxa"/>
            <w:tcBorders>
              <w:top w:val="single" w:sz="7" w:space="0" w:color="000000"/>
              <w:left w:val="single" w:sz="7" w:space="0" w:color="000000"/>
              <w:bottom w:val="single" w:sz="7" w:space="0" w:color="000000"/>
              <w:right w:val="single" w:sz="7" w:space="0" w:color="000000"/>
            </w:tcBorders>
            <w:shd w:val="clear" w:color="auto" w:fill="D9D9D9"/>
            <w:vAlign w:val="center"/>
          </w:tcPr>
          <w:p w14:paraId="4D4F4772" w14:textId="77777777" w:rsidR="006E2DFB" w:rsidRPr="00862FE5" w:rsidRDefault="00AA110B" w:rsidP="004F7B3F">
            <w:pPr>
              <w:spacing w:after="0" w:line="259" w:lineRule="auto"/>
              <w:ind w:left="3" w:right="0" w:firstLine="0"/>
              <w:jc w:val="center"/>
              <w:rPr>
                <w:rFonts w:ascii="Lato" w:hAnsi="Lato" w:cs="Arial"/>
                <w:color w:val="auto"/>
                <w:sz w:val="20"/>
                <w:szCs w:val="20"/>
              </w:rPr>
            </w:pPr>
            <w:r w:rsidRPr="00862FE5">
              <w:rPr>
                <w:rFonts w:ascii="Lato" w:hAnsi="Lato" w:cs="Arial"/>
                <w:color w:val="auto"/>
                <w:sz w:val="20"/>
                <w:szCs w:val="20"/>
              </w:rPr>
              <w:t>Współczynnik</w:t>
            </w:r>
          </w:p>
        </w:tc>
      </w:tr>
      <w:tr w:rsidR="00C12CF0" w:rsidRPr="00862FE5" w14:paraId="04AD75C1" w14:textId="77777777">
        <w:trPr>
          <w:trHeight w:val="379"/>
        </w:trPr>
        <w:tc>
          <w:tcPr>
            <w:tcW w:w="537" w:type="dxa"/>
            <w:tcBorders>
              <w:top w:val="single" w:sz="7" w:space="0" w:color="000000"/>
              <w:left w:val="single" w:sz="7" w:space="0" w:color="000000"/>
              <w:bottom w:val="single" w:sz="7" w:space="0" w:color="000000"/>
              <w:right w:val="single" w:sz="7" w:space="0" w:color="000000"/>
            </w:tcBorders>
            <w:shd w:val="clear" w:color="auto" w:fill="D9D9D9"/>
          </w:tcPr>
          <w:p w14:paraId="1CF7204F" w14:textId="77777777" w:rsidR="006E2DFB" w:rsidRPr="00862FE5" w:rsidRDefault="00AA110B" w:rsidP="004F7B3F">
            <w:pPr>
              <w:spacing w:after="0" w:line="259" w:lineRule="auto"/>
              <w:ind w:left="101" w:right="0" w:firstLine="0"/>
              <w:jc w:val="left"/>
              <w:rPr>
                <w:rFonts w:ascii="Lato" w:hAnsi="Lato" w:cs="Arial"/>
                <w:color w:val="auto"/>
                <w:sz w:val="20"/>
                <w:szCs w:val="20"/>
              </w:rPr>
            </w:pPr>
            <w:r w:rsidRPr="00862FE5">
              <w:rPr>
                <w:rFonts w:ascii="Lato" w:hAnsi="Lato" w:cs="Arial"/>
                <w:color w:val="auto"/>
                <w:sz w:val="20"/>
                <w:szCs w:val="20"/>
              </w:rPr>
              <w:t>a</w:t>
            </w:r>
          </w:p>
        </w:tc>
        <w:tc>
          <w:tcPr>
            <w:tcW w:w="5671" w:type="dxa"/>
            <w:tcBorders>
              <w:top w:val="single" w:sz="7" w:space="0" w:color="000000"/>
              <w:left w:val="single" w:sz="7" w:space="0" w:color="000000"/>
              <w:bottom w:val="single" w:sz="7" w:space="0" w:color="000000"/>
              <w:right w:val="single" w:sz="7" w:space="0" w:color="000000"/>
            </w:tcBorders>
            <w:shd w:val="clear" w:color="auto" w:fill="D9D9D9"/>
          </w:tcPr>
          <w:p w14:paraId="4F9F411A" w14:textId="77777777" w:rsidR="006E2DFB" w:rsidRPr="00862FE5" w:rsidRDefault="00AA110B" w:rsidP="004F7B3F">
            <w:pPr>
              <w:spacing w:after="0" w:line="259" w:lineRule="auto"/>
              <w:ind w:left="4" w:right="0" w:firstLine="0"/>
              <w:jc w:val="center"/>
              <w:rPr>
                <w:rFonts w:ascii="Lato" w:hAnsi="Lato" w:cs="Arial"/>
                <w:color w:val="auto"/>
                <w:sz w:val="20"/>
                <w:szCs w:val="20"/>
              </w:rPr>
            </w:pPr>
            <w:r w:rsidRPr="00862FE5">
              <w:rPr>
                <w:rFonts w:ascii="Lato" w:hAnsi="Lato" w:cs="Arial"/>
                <w:color w:val="auto"/>
                <w:sz w:val="20"/>
                <w:szCs w:val="20"/>
              </w:rPr>
              <w:t>b</w:t>
            </w:r>
          </w:p>
        </w:tc>
        <w:tc>
          <w:tcPr>
            <w:tcW w:w="1843" w:type="dxa"/>
            <w:tcBorders>
              <w:top w:val="single" w:sz="7" w:space="0" w:color="000000"/>
              <w:left w:val="single" w:sz="7" w:space="0" w:color="000000"/>
              <w:bottom w:val="single" w:sz="7" w:space="0" w:color="000000"/>
              <w:right w:val="single" w:sz="7" w:space="0" w:color="000000"/>
            </w:tcBorders>
            <w:shd w:val="clear" w:color="auto" w:fill="D9D9D9"/>
          </w:tcPr>
          <w:p w14:paraId="2B916A73" w14:textId="77777777" w:rsidR="006E2DFB" w:rsidRPr="00862FE5" w:rsidRDefault="00AA110B" w:rsidP="004F7B3F">
            <w:pPr>
              <w:spacing w:after="0" w:line="259" w:lineRule="auto"/>
              <w:ind w:left="4" w:right="0" w:firstLine="0"/>
              <w:jc w:val="center"/>
              <w:rPr>
                <w:rFonts w:ascii="Lato" w:hAnsi="Lato" w:cs="Arial"/>
                <w:color w:val="auto"/>
                <w:sz w:val="20"/>
                <w:szCs w:val="20"/>
              </w:rPr>
            </w:pPr>
            <w:r w:rsidRPr="00862FE5">
              <w:rPr>
                <w:rFonts w:ascii="Lato" w:hAnsi="Lato" w:cs="Arial"/>
                <w:color w:val="auto"/>
                <w:sz w:val="20"/>
                <w:szCs w:val="20"/>
              </w:rPr>
              <w:t>c</w:t>
            </w:r>
          </w:p>
        </w:tc>
      </w:tr>
      <w:tr w:rsidR="00C12CF0" w:rsidRPr="00862FE5" w14:paraId="28D165E8" w14:textId="77777777">
        <w:trPr>
          <w:trHeight w:val="383"/>
        </w:trPr>
        <w:tc>
          <w:tcPr>
            <w:tcW w:w="537" w:type="dxa"/>
            <w:tcBorders>
              <w:top w:val="single" w:sz="7" w:space="0" w:color="000000"/>
              <w:left w:val="single" w:sz="7" w:space="0" w:color="000000"/>
              <w:bottom w:val="nil"/>
              <w:right w:val="single" w:sz="7" w:space="0" w:color="000000"/>
            </w:tcBorders>
          </w:tcPr>
          <w:p w14:paraId="0D8B1487" w14:textId="77777777" w:rsidR="006E2DFB" w:rsidRPr="00862FE5" w:rsidRDefault="00AA110B" w:rsidP="004F7B3F">
            <w:pPr>
              <w:spacing w:after="0" w:line="259" w:lineRule="auto"/>
              <w:ind w:left="41" w:right="0" w:firstLine="0"/>
              <w:jc w:val="left"/>
              <w:rPr>
                <w:rFonts w:ascii="Lato" w:hAnsi="Lato" w:cs="Arial"/>
                <w:color w:val="auto"/>
                <w:sz w:val="20"/>
                <w:szCs w:val="20"/>
              </w:rPr>
            </w:pPr>
            <w:r w:rsidRPr="00862FE5">
              <w:rPr>
                <w:rFonts w:ascii="Lato" w:hAnsi="Lato" w:cs="Arial"/>
                <w:color w:val="auto"/>
                <w:sz w:val="20"/>
                <w:szCs w:val="20"/>
              </w:rPr>
              <w:t>01</w:t>
            </w:r>
          </w:p>
        </w:tc>
        <w:tc>
          <w:tcPr>
            <w:tcW w:w="5671" w:type="dxa"/>
            <w:tcBorders>
              <w:top w:val="single" w:sz="7" w:space="0" w:color="000000"/>
              <w:left w:val="single" w:sz="7" w:space="0" w:color="000000"/>
              <w:bottom w:val="nil"/>
              <w:right w:val="single" w:sz="7" w:space="0" w:color="000000"/>
            </w:tcBorders>
          </w:tcPr>
          <w:p w14:paraId="2B9F475A" w14:textId="77777777" w:rsidR="006E2DFB" w:rsidRPr="00862FE5" w:rsidRDefault="00AA110B" w:rsidP="004F7B3F">
            <w:pPr>
              <w:spacing w:after="0" w:line="259" w:lineRule="auto"/>
              <w:ind w:left="142" w:right="0" w:firstLine="0"/>
              <w:jc w:val="left"/>
              <w:rPr>
                <w:rFonts w:ascii="Lato" w:hAnsi="Lato" w:cs="Arial"/>
                <w:color w:val="auto"/>
                <w:sz w:val="20"/>
                <w:szCs w:val="20"/>
              </w:rPr>
            </w:pPr>
            <w:r w:rsidRPr="00862FE5">
              <w:rPr>
                <w:rFonts w:ascii="Lato" w:hAnsi="Lato" w:cs="Arial"/>
                <w:color w:val="auto"/>
                <w:sz w:val="20"/>
                <w:szCs w:val="20"/>
              </w:rPr>
              <w:t>do 10%</w:t>
            </w:r>
          </w:p>
        </w:tc>
        <w:tc>
          <w:tcPr>
            <w:tcW w:w="1843" w:type="dxa"/>
            <w:tcBorders>
              <w:top w:val="single" w:sz="7" w:space="0" w:color="000000"/>
              <w:left w:val="single" w:sz="7" w:space="0" w:color="000000"/>
              <w:bottom w:val="nil"/>
              <w:right w:val="single" w:sz="7" w:space="0" w:color="000000"/>
            </w:tcBorders>
          </w:tcPr>
          <w:p w14:paraId="1881060A" w14:textId="77777777" w:rsidR="006E2DFB" w:rsidRPr="00862FE5" w:rsidRDefault="00AA110B" w:rsidP="004F7B3F">
            <w:pPr>
              <w:spacing w:after="0" w:line="259" w:lineRule="auto"/>
              <w:ind w:left="6" w:right="0" w:firstLine="0"/>
              <w:jc w:val="center"/>
              <w:rPr>
                <w:rFonts w:ascii="Lato" w:hAnsi="Lato" w:cs="Arial"/>
                <w:color w:val="auto"/>
                <w:sz w:val="20"/>
                <w:szCs w:val="20"/>
              </w:rPr>
            </w:pPr>
            <w:r w:rsidRPr="00862FE5">
              <w:rPr>
                <w:rFonts w:ascii="Lato" w:hAnsi="Lato" w:cs="Arial"/>
                <w:color w:val="auto"/>
                <w:sz w:val="20"/>
                <w:szCs w:val="20"/>
              </w:rPr>
              <w:t>1,10</w:t>
            </w:r>
          </w:p>
        </w:tc>
      </w:tr>
      <w:tr w:rsidR="00C12CF0" w:rsidRPr="00862FE5" w14:paraId="2B0CB22D" w14:textId="77777777">
        <w:trPr>
          <w:trHeight w:val="382"/>
        </w:trPr>
        <w:tc>
          <w:tcPr>
            <w:tcW w:w="537" w:type="dxa"/>
            <w:tcBorders>
              <w:top w:val="nil"/>
              <w:left w:val="single" w:sz="7" w:space="0" w:color="000000"/>
              <w:bottom w:val="nil"/>
              <w:right w:val="single" w:sz="7" w:space="0" w:color="000000"/>
            </w:tcBorders>
          </w:tcPr>
          <w:p w14:paraId="043F3892" w14:textId="77777777" w:rsidR="006E2DFB" w:rsidRPr="00862FE5" w:rsidRDefault="00AA110B" w:rsidP="004F7B3F">
            <w:pPr>
              <w:spacing w:after="0" w:line="259" w:lineRule="auto"/>
              <w:ind w:left="41" w:right="0" w:firstLine="0"/>
              <w:jc w:val="left"/>
              <w:rPr>
                <w:rFonts w:ascii="Lato" w:hAnsi="Lato" w:cs="Arial"/>
                <w:color w:val="auto"/>
                <w:sz w:val="20"/>
                <w:szCs w:val="20"/>
              </w:rPr>
            </w:pPr>
            <w:r w:rsidRPr="00862FE5">
              <w:rPr>
                <w:rFonts w:ascii="Lato" w:hAnsi="Lato" w:cs="Arial"/>
                <w:color w:val="auto"/>
                <w:sz w:val="20"/>
                <w:szCs w:val="20"/>
              </w:rPr>
              <w:t>02</w:t>
            </w:r>
          </w:p>
        </w:tc>
        <w:tc>
          <w:tcPr>
            <w:tcW w:w="5671" w:type="dxa"/>
            <w:tcBorders>
              <w:top w:val="nil"/>
              <w:left w:val="single" w:sz="7" w:space="0" w:color="000000"/>
              <w:bottom w:val="nil"/>
              <w:right w:val="single" w:sz="7" w:space="0" w:color="000000"/>
            </w:tcBorders>
          </w:tcPr>
          <w:p w14:paraId="0869F0DD" w14:textId="77777777" w:rsidR="006E2DFB" w:rsidRPr="00862FE5" w:rsidRDefault="00AA110B" w:rsidP="004F7B3F">
            <w:pPr>
              <w:spacing w:after="0" w:line="259" w:lineRule="auto"/>
              <w:ind w:left="142" w:right="0" w:firstLine="0"/>
              <w:jc w:val="left"/>
              <w:rPr>
                <w:rFonts w:ascii="Lato" w:hAnsi="Lato" w:cs="Arial"/>
                <w:color w:val="auto"/>
                <w:sz w:val="20"/>
                <w:szCs w:val="20"/>
              </w:rPr>
            </w:pPr>
            <w:r w:rsidRPr="00862FE5">
              <w:rPr>
                <w:rFonts w:ascii="Lato" w:hAnsi="Lato" w:cs="Arial"/>
                <w:color w:val="auto"/>
                <w:sz w:val="20"/>
                <w:szCs w:val="20"/>
              </w:rPr>
              <w:t>do 20%</w:t>
            </w:r>
          </w:p>
        </w:tc>
        <w:tc>
          <w:tcPr>
            <w:tcW w:w="1843" w:type="dxa"/>
            <w:tcBorders>
              <w:top w:val="nil"/>
              <w:left w:val="single" w:sz="7" w:space="0" w:color="000000"/>
              <w:bottom w:val="nil"/>
              <w:right w:val="single" w:sz="7" w:space="0" w:color="000000"/>
            </w:tcBorders>
          </w:tcPr>
          <w:p w14:paraId="634A0E1F" w14:textId="77777777" w:rsidR="006E2DFB" w:rsidRPr="00862FE5" w:rsidRDefault="00AA110B" w:rsidP="004F7B3F">
            <w:pPr>
              <w:spacing w:after="0" w:line="259" w:lineRule="auto"/>
              <w:ind w:left="6" w:right="0" w:firstLine="0"/>
              <w:jc w:val="center"/>
              <w:rPr>
                <w:rFonts w:ascii="Lato" w:hAnsi="Lato" w:cs="Arial"/>
                <w:color w:val="auto"/>
                <w:sz w:val="20"/>
                <w:szCs w:val="20"/>
              </w:rPr>
            </w:pPr>
            <w:r w:rsidRPr="00862FE5">
              <w:rPr>
                <w:rFonts w:ascii="Lato" w:hAnsi="Lato" w:cs="Arial"/>
                <w:color w:val="auto"/>
                <w:sz w:val="20"/>
                <w:szCs w:val="20"/>
              </w:rPr>
              <w:t>1,20</w:t>
            </w:r>
          </w:p>
        </w:tc>
      </w:tr>
      <w:tr w:rsidR="00C12CF0" w:rsidRPr="00862FE5" w14:paraId="019DEA19" w14:textId="77777777">
        <w:trPr>
          <w:trHeight w:val="383"/>
        </w:trPr>
        <w:tc>
          <w:tcPr>
            <w:tcW w:w="537" w:type="dxa"/>
            <w:tcBorders>
              <w:top w:val="nil"/>
              <w:left w:val="single" w:sz="7" w:space="0" w:color="000000"/>
              <w:bottom w:val="nil"/>
              <w:right w:val="single" w:sz="7" w:space="0" w:color="000000"/>
            </w:tcBorders>
          </w:tcPr>
          <w:p w14:paraId="211C25F1" w14:textId="77777777" w:rsidR="006E2DFB" w:rsidRPr="00862FE5" w:rsidRDefault="00AA110B" w:rsidP="004F7B3F">
            <w:pPr>
              <w:spacing w:after="0" w:line="259" w:lineRule="auto"/>
              <w:ind w:left="41" w:right="0" w:firstLine="0"/>
              <w:jc w:val="left"/>
              <w:rPr>
                <w:rFonts w:ascii="Lato" w:hAnsi="Lato" w:cs="Arial"/>
                <w:color w:val="auto"/>
                <w:sz w:val="20"/>
                <w:szCs w:val="20"/>
              </w:rPr>
            </w:pPr>
            <w:r w:rsidRPr="00862FE5">
              <w:rPr>
                <w:rFonts w:ascii="Lato" w:hAnsi="Lato" w:cs="Arial"/>
                <w:color w:val="auto"/>
                <w:sz w:val="20"/>
                <w:szCs w:val="20"/>
              </w:rPr>
              <w:t>03</w:t>
            </w:r>
          </w:p>
        </w:tc>
        <w:tc>
          <w:tcPr>
            <w:tcW w:w="5671" w:type="dxa"/>
            <w:tcBorders>
              <w:top w:val="nil"/>
              <w:left w:val="single" w:sz="7" w:space="0" w:color="000000"/>
              <w:bottom w:val="nil"/>
              <w:right w:val="single" w:sz="7" w:space="0" w:color="000000"/>
            </w:tcBorders>
          </w:tcPr>
          <w:p w14:paraId="4FE84DDD" w14:textId="77777777" w:rsidR="006E2DFB" w:rsidRPr="00862FE5" w:rsidRDefault="00AA110B" w:rsidP="004F7B3F">
            <w:pPr>
              <w:spacing w:after="0" w:line="259" w:lineRule="auto"/>
              <w:ind w:left="142" w:right="0" w:firstLine="0"/>
              <w:jc w:val="left"/>
              <w:rPr>
                <w:rFonts w:ascii="Lato" w:hAnsi="Lato" w:cs="Arial"/>
                <w:color w:val="auto"/>
                <w:sz w:val="20"/>
                <w:szCs w:val="20"/>
              </w:rPr>
            </w:pPr>
            <w:r w:rsidRPr="00862FE5">
              <w:rPr>
                <w:rFonts w:ascii="Lato" w:hAnsi="Lato" w:cs="Arial"/>
                <w:color w:val="auto"/>
                <w:sz w:val="20"/>
                <w:szCs w:val="20"/>
              </w:rPr>
              <w:t>do 40%</w:t>
            </w:r>
          </w:p>
        </w:tc>
        <w:tc>
          <w:tcPr>
            <w:tcW w:w="1843" w:type="dxa"/>
            <w:tcBorders>
              <w:top w:val="nil"/>
              <w:left w:val="single" w:sz="7" w:space="0" w:color="000000"/>
              <w:bottom w:val="nil"/>
              <w:right w:val="single" w:sz="7" w:space="0" w:color="000000"/>
            </w:tcBorders>
          </w:tcPr>
          <w:p w14:paraId="1E0003C9" w14:textId="77777777" w:rsidR="006E2DFB" w:rsidRPr="00862FE5" w:rsidRDefault="00AA110B" w:rsidP="004F7B3F">
            <w:pPr>
              <w:spacing w:after="0" w:line="259" w:lineRule="auto"/>
              <w:ind w:left="6" w:right="0" w:firstLine="0"/>
              <w:jc w:val="center"/>
              <w:rPr>
                <w:rFonts w:ascii="Lato" w:hAnsi="Lato" w:cs="Arial"/>
                <w:color w:val="auto"/>
                <w:sz w:val="20"/>
                <w:szCs w:val="20"/>
              </w:rPr>
            </w:pPr>
            <w:r w:rsidRPr="00862FE5">
              <w:rPr>
                <w:rFonts w:ascii="Lato" w:hAnsi="Lato" w:cs="Arial"/>
                <w:color w:val="auto"/>
                <w:sz w:val="20"/>
                <w:szCs w:val="20"/>
              </w:rPr>
              <w:t>1,40</w:t>
            </w:r>
          </w:p>
        </w:tc>
      </w:tr>
      <w:tr w:rsidR="00C12CF0" w:rsidRPr="00862FE5" w14:paraId="0951FF73" w14:textId="77777777">
        <w:trPr>
          <w:trHeight w:val="382"/>
        </w:trPr>
        <w:tc>
          <w:tcPr>
            <w:tcW w:w="537" w:type="dxa"/>
            <w:tcBorders>
              <w:top w:val="nil"/>
              <w:left w:val="single" w:sz="7" w:space="0" w:color="000000"/>
              <w:bottom w:val="single" w:sz="7" w:space="0" w:color="000000"/>
              <w:right w:val="single" w:sz="7" w:space="0" w:color="000000"/>
            </w:tcBorders>
          </w:tcPr>
          <w:p w14:paraId="222A7DC7" w14:textId="77777777" w:rsidR="006E2DFB" w:rsidRPr="00862FE5" w:rsidRDefault="00AA110B" w:rsidP="004F7B3F">
            <w:pPr>
              <w:spacing w:after="0" w:line="259" w:lineRule="auto"/>
              <w:ind w:left="41" w:right="0" w:firstLine="0"/>
              <w:jc w:val="left"/>
              <w:rPr>
                <w:rFonts w:ascii="Lato" w:hAnsi="Lato" w:cs="Arial"/>
                <w:color w:val="auto"/>
                <w:sz w:val="20"/>
                <w:szCs w:val="20"/>
              </w:rPr>
            </w:pPr>
            <w:r w:rsidRPr="00862FE5">
              <w:rPr>
                <w:rFonts w:ascii="Lato" w:hAnsi="Lato" w:cs="Arial"/>
                <w:color w:val="auto"/>
                <w:sz w:val="20"/>
                <w:szCs w:val="20"/>
              </w:rPr>
              <w:t>04</w:t>
            </w:r>
          </w:p>
        </w:tc>
        <w:tc>
          <w:tcPr>
            <w:tcW w:w="5671" w:type="dxa"/>
            <w:tcBorders>
              <w:top w:val="nil"/>
              <w:left w:val="single" w:sz="7" w:space="0" w:color="000000"/>
              <w:bottom w:val="single" w:sz="7" w:space="0" w:color="000000"/>
              <w:right w:val="single" w:sz="7" w:space="0" w:color="000000"/>
            </w:tcBorders>
          </w:tcPr>
          <w:p w14:paraId="5327F3B7" w14:textId="77777777" w:rsidR="006E2DFB" w:rsidRPr="00862FE5" w:rsidRDefault="00AA110B" w:rsidP="004F7B3F">
            <w:pPr>
              <w:spacing w:after="0" w:line="259" w:lineRule="auto"/>
              <w:ind w:left="142" w:right="0" w:firstLine="0"/>
              <w:jc w:val="left"/>
              <w:rPr>
                <w:rFonts w:ascii="Lato" w:hAnsi="Lato" w:cs="Arial"/>
                <w:color w:val="auto"/>
                <w:sz w:val="20"/>
                <w:szCs w:val="20"/>
              </w:rPr>
            </w:pPr>
            <w:r w:rsidRPr="00862FE5">
              <w:rPr>
                <w:rFonts w:ascii="Lato" w:hAnsi="Lato" w:cs="Arial"/>
                <w:color w:val="auto"/>
                <w:sz w:val="20"/>
                <w:szCs w:val="20"/>
              </w:rPr>
              <w:t>ponad 40%</w:t>
            </w:r>
          </w:p>
        </w:tc>
        <w:tc>
          <w:tcPr>
            <w:tcW w:w="1843" w:type="dxa"/>
            <w:tcBorders>
              <w:top w:val="nil"/>
              <w:left w:val="single" w:sz="7" w:space="0" w:color="000000"/>
              <w:bottom w:val="single" w:sz="7" w:space="0" w:color="000000"/>
              <w:right w:val="single" w:sz="7" w:space="0" w:color="000000"/>
            </w:tcBorders>
          </w:tcPr>
          <w:p w14:paraId="3EBD9034" w14:textId="77777777" w:rsidR="006E2DFB" w:rsidRPr="00862FE5" w:rsidRDefault="00AA110B" w:rsidP="004F7B3F">
            <w:pPr>
              <w:spacing w:after="0" w:line="259" w:lineRule="auto"/>
              <w:ind w:left="6" w:right="0" w:firstLine="0"/>
              <w:jc w:val="center"/>
              <w:rPr>
                <w:rFonts w:ascii="Lato" w:hAnsi="Lato" w:cs="Arial"/>
                <w:color w:val="auto"/>
                <w:sz w:val="20"/>
                <w:szCs w:val="20"/>
              </w:rPr>
            </w:pPr>
            <w:r w:rsidRPr="00862FE5">
              <w:rPr>
                <w:rFonts w:ascii="Lato" w:hAnsi="Lato" w:cs="Arial"/>
                <w:color w:val="auto"/>
                <w:sz w:val="20"/>
                <w:szCs w:val="20"/>
              </w:rPr>
              <w:t>2,00</w:t>
            </w:r>
          </w:p>
        </w:tc>
      </w:tr>
    </w:tbl>
    <w:p w14:paraId="29C1891D"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Powierzchnię dwustronnie malowanych wbudowanych okien i drzwi (skrzydeł z ościeżnicami wraz z ćwierćwałkami) oblicza się w metrach kwadratowych powierzchni w świetle wykończonych otworów (ościeży), stosując do uzyskanych wyników współczynniki z tablicy 3.</w:t>
      </w:r>
    </w:p>
    <w:p w14:paraId="00B5E911"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Tablica 3. Współczynniki przeliczeniowe dla stolarki okiennej i drzwiowej</w:t>
      </w:r>
    </w:p>
    <w:tbl>
      <w:tblPr>
        <w:tblStyle w:val="TableGrid"/>
        <w:tblW w:w="8755" w:type="dxa"/>
        <w:tblInd w:w="8" w:type="dxa"/>
        <w:tblCellMar>
          <w:top w:w="60" w:type="dxa"/>
          <w:left w:w="67" w:type="dxa"/>
          <w:right w:w="88" w:type="dxa"/>
        </w:tblCellMar>
        <w:tblLook w:val="04A0" w:firstRow="1" w:lastRow="0" w:firstColumn="1" w:lastColumn="0" w:noHBand="0" w:noVBand="1"/>
      </w:tblPr>
      <w:tblGrid>
        <w:gridCol w:w="535"/>
        <w:gridCol w:w="6660"/>
        <w:gridCol w:w="1560"/>
      </w:tblGrid>
      <w:tr w:rsidR="00C12CF0" w:rsidRPr="00862FE5" w14:paraId="172200D0" w14:textId="77777777">
        <w:trPr>
          <w:trHeight w:val="381"/>
        </w:trPr>
        <w:tc>
          <w:tcPr>
            <w:tcW w:w="535" w:type="dxa"/>
            <w:tcBorders>
              <w:top w:val="single" w:sz="7" w:space="0" w:color="000000"/>
              <w:left w:val="single" w:sz="7" w:space="0" w:color="000000"/>
              <w:bottom w:val="single" w:sz="7" w:space="0" w:color="000000"/>
              <w:right w:val="single" w:sz="7" w:space="0" w:color="000000"/>
            </w:tcBorders>
            <w:shd w:val="clear" w:color="auto" w:fill="D9D9D9"/>
          </w:tcPr>
          <w:p w14:paraId="5DBAE83F" w14:textId="77777777" w:rsidR="006E2DFB" w:rsidRPr="00862FE5" w:rsidRDefault="00AA110B" w:rsidP="004F7B3F">
            <w:pPr>
              <w:spacing w:after="0" w:line="259" w:lineRule="auto"/>
              <w:ind w:left="46" w:right="0" w:firstLine="0"/>
              <w:jc w:val="left"/>
              <w:rPr>
                <w:rFonts w:ascii="Lato" w:hAnsi="Lato" w:cs="Arial"/>
                <w:color w:val="auto"/>
                <w:sz w:val="20"/>
                <w:szCs w:val="20"/>
              </w:rPr>
            </w:pPr>
            <w:r w:rsidRPr="00862FE5">
              <w:rPr>
                <w:rFonts w:ascii="Lato" w:hAnsi="Lato" w:cs="Arial"/>
                <w:color w:val="auto"/>
                <w:sz w:val="20"/>
                <w:szCs w:val="20"/>
              </w:rPr>
              <w:t>Lp.</w:t>
            </w:r>
          </w:p>
        </w:tc>
        <w:tc>
          <w:tcPr>
            <w:tcW w:w="6660" w:type="dxa"/>
            <w:tcBorders>
              <w:top w:val="single" w:sz="7" w:space="0" w:color="000000"/>
              <w:left w:val="single" w:sz="7" w:space="0" w:color="000000"/>
              <w:bottom w:val="single" w:sz="7" w:space="0" w:color="000000"/>
              <w:right w:val="single" w:sz="7" w:space="0" w:color="000000"/>
            </w:tcBorders>
            <w:shd w:val="clear" w:color="auto" w:fill="D9D9D9"/>
          </w:tcPr>
          <w:p w14:paraId="666CA622" w14:textId="77777777" w:rsidR="006E2DFB" w:rsidRPr="00862FE5" w:rsidRDefault="00AA110B" w:rsidP="004F7B3F">
            <w:pPr>
              <w:spacing w:after="0" w:line="259" w:lineRule="auto"/>
              <w:ind w:left="18" w:right="0" w:firstLine="0"/>
              <w:jc w:val="center"/>
              <w:rPr>
                <w:rFonts w:ascii="Lato" w:hAnsi="Lato" w:cs="Arial"/>
                <w:color w:val="auto"/>
                <w:sz w:val="20"/>
                <w:szCs w:val="20"/>
              </w:rPr>
            </w:pPr>
            <w:r w:rsidRPr="00862FE5">
              <w:rPr>
                <w:rFonts w:ascii="Lato" w:hAnsi="Lato" w:cs="Arial"/>
                <w:color w:val="auto"/>
                <w:sz w:val="20"/>
                <w:szCs w:val="20"/>
              </w:rPr>
              <w:t>Nazwa elementu</w:t>
            </w:r>
          </w:p>
        </w:tc>
        <w:tc>
          <w:tcPr>
            <w:tcW w:w="1560" w:type="dxa"/>
            <w:tcBorders>
              <w:top w:val="single" w:sz="7" w:space="0" w:color="000000"/>
              <w:left w:val="single" w:sz="7" w:space="0" w:color="000000"/>
              <w:bottom w:val="single" w:sz="7" w:space="0" w:color="000000"/>
              <w:right w:val="single" w:sz="7" w:space="0" w:color="000000"/>
            </w:tcBorders>
            <w:shd w:val="clear" w:color="auto" w:fill="D9D9D9"/>
          </w:tcPr>
          <w:p w14:paraId="712E4535" w14:textId="77777777" w:rsidR="006E2DFB" w:rsidRPr="00862FE5" w:rsidRDefault="00AA110B" w:rsidP="004F7B3F">
            <w:pPr>
              <w:spacing w:after="0" w:line="259" w:lineRule="auto"/>
              <w:ind w:left="36" w:right="0" w:firstLine="0"/>
              <w:rPr>
                <w:rFonts w:ascii="Lato" w:hAnsi="Lato" w:cs="Arial"/>
                <w:color w:val="auto"/>
                <w:sz w:val="20"/>
                <w:szCs w:val="20"/>
              </w:rPr>
            </w:pPr>
            <w:r w:rsidRPr="00862FE5">
              <w:rPr>
                <w:rFonts w:ascii="Lato" w:hAnsi="Lato" w:cs="Arial"/>
                <w:color w:val="auto"/>
                <w:sz w:val="20"/>
                <w:szCs w:val="20"/>
              </w:rPr>
              <w:t>Współczynnik</w:t>
            </w:r>
          </w:p>
        </w:tc>
      </w:tr>
      <w:tr w:rsidR="00C12CF0" w:rsidRPr="00862FE5" w14:paraId="24AF314E" w14:textId="77777777">
        <w:trPr>
          <w:trHeight w:val="382"/>
        </w:trPr>
        <w:tc>
          <w:tcPr>
            <w:tcW w:w="535" w:type="dxa"/>
            <w:tcBorders>
              <w:top w:val="single" w:sz="7" w:space="0" w:color="000000"/>
              <w:left w:val="single" w:sz="7" w:space="0" w:color="000000"/>
              <w:bottom w:val="single" w:sz="7" w:space="0" w:color="000000"/>
              <w:right w:val="single" w:sz="7" w:space="0" w:color="000000"/>
            </w:tcBorders>
            <w:shd w:val="clear" w:color="auto" w:fill="D9D9D9"/>
          </w:tcPr>
          <w:p w14:paraId="0E85D719" w14:textId="77777777" w:rsidR="006E2DFB" w:rsidRPr="00862FE5" w:rsidRDefault="00AA110B" w:rsidP="004F7B3F">
            <w:pPr>
              <w:spacing w:after="0" w:line="259" w:lineRule="auto"/>
              <w:ind w:left="139" w:right="0" w:firstLine="0"/>
              <w:jc w:val="left"/>
              <w:rPr>
                <w:rFonts w:ascii="Lato" w:hAnsi="Lato" w:cs="Arial"/>
                <w:color w:val="auto"/>
                <w:sz w:val="20"/>
                <w:szCs w:val="20"/>
              </w:rPr>
            </w:pPr>
            <w:r w:rsidRPr="00862FE5">
              <w:rPr>
                <w:rFonts w:ascii="Lato" w:hAnsi="Lato" w:cs="Arial"/>
                <w:color w:val="auto"/>
                <w:sz w:val="20"/>
                <w:szCs w:val="20"/>
              </w:rPr>
              <w:t>a</w:t>
            </w:r>
          </w:p>
        </w:tc>
        <w:tc>
          <w:tcPr>
            <w:tcW w:w="6660" w:type="dxa"/>
            <w:tcBorders>
              <w:top w:val="single" w:sz="7" w:space="0" w:color="000000"/>
              <w:left w:val="single" w:sz="7" w:space="0" w:color="000000"/>
              <w:bottom w:val="single" w:sz="7" w:space="0" w:color="000000"/>
              <w:right w:val="single" w:sz="7" w:space="0" w:color="000000"/>
            </w:tcBorders>
            <w:shd w:val="clear" w:color="auto" w:fill="D9D9D9"/>
          </w:tcPr>
          <w:p w14:paraId="3F99A203" w14:textId="77777777" w:rsidR="006E2DFB" w:rsidRPr="00862FE5" w:rsidRDefault="00AA110B" w:rsidP="004F7B3F">
            <w:pPr>
              <w:spacing w:after="0" w:line="259" w:lineRule="auto"/>
              <w:ind w:left="21" w:right="0" w:firstLine="0"/>
              <w:jc w:val="center"/>
              <w:rPr>
                <w:rFonts w:ascii="Lato" w:hAnsi="Lato" w:cs="Arial"/>
                <w:color w:val="auto"/>
                <w:sz w:val="20"/>
                <w:szCs w:val="20"/>
              </w:rPr>
            </w:pPr>
            <w:r w:rsidRPr="00862FE5">
              <w:rPr>
                <w:rFonts w:ascii="Lato" w:hAnsi="Lato" w:cs="Arial"/>
                <w:color w:val="auto"/>
                <w:sz w:val="20"/>
                <w:szCs w:val="20"/>
              </w:rPr>
              <w:t>b</w:t>
            </w:r>
          </w:p>
        </w:tc>
        <w:tc>
          <w:tcPr>
            <w:tcW w:w="1560" w:type="dxa"/>
            <w:tcBorders>
              <w:top w:val="single" w:sz="7" w:space="0" w:color="000000"/>
              <w:left w:val="single" w:sz="7" w:space="0" w:color="000000"/>
              <w:bottom w:val="single" w:sz="7" w:space="0" w:color="000000"/>
              <w:right w:val="single" w:sz="7" w:space="0" w:color="000000"/>
            </w:tcBorders>
            <w:shd w:val="clear" w:color="auto" w:fill="D9D9D9"/>
          </w:tcPr>
          <w:p w14:paraId="03E93552" w14:textId="77777777" w:rsidR="006E2DFB" w:rsidRPr="00862FE5" w:rsidRDefault="00AA110B" w:rsidP="004F7B3F">
            <w:pPr>
              <w:spacing w:after="0" w:line="259" w:lineRule="auto"/>
              <w:ind w:left="21" w:right="0" w:firstLine="0"/>
              <w:jc w:val="center"/>
              <w:rPr>
                <w:rFonts w:ascii="Lato" w:hAnsi="Lato" w:cs="Arial"/>
                <w:color w:val="auto"/>
                <w:sz w:val="20"/>
                <w:szCs w:val="20"/>
              </w:rPr>
            </w:pPr>
            <w:r w:rsidRPr="00862FE5">
              <w:rPr>
                <w:rFonts w:ascii="Lato" w:hAnsi="Lato" w:cs="Arial"/>
                <w:color w:val="auto"/>
                <w:sz w:val="20"/>
                <w:szCs w:val="20"/>
              </w:rPr>
              <w:t>c</w:t>
            </w:r>
          </w:p>
        </w:tc>
      </w:tr>
      <w:tr w:rsidR="00C12CF0" w:rsidRPr="00862FE5" w14:paraId="6541F560" w14:textId="77777777">
        <w:trPr>
          <w:trHeight w:val="622"/>
        </w:trPr>
        <w:tc>
          <w:tcPr>
            <w:tcW w:w="535" w:type="dxa"/>
            <w:tcBorders>
              <w:top w:val="single" w:sz="7" w:space="0" w:color="000000"/>
              <w:left w:val="single" w:sz="7" w:space="0" w:color="000000"/>
              <w:bottom w:val="nil"/>
              <w:right w:val="single" w:sz="7" w:space="0" w:color="000000"/>
            </w:tcBorders>
            <w:shd w:val="clear" w:color="auto" w:fill="B3B3B3"/>
          </w:tcPr>
          <w:p w14:paraId="70033EBF" w14:textId="77777777" w:rsidR="006E2DFB" w:rsidRPr="00862FE5" w:rsidRDefault="006E2DFB" w:rsidP="004F7B3F">
            <w:pPr>
              <w:spacing w:after="0" w:line="259" w:lineRule="auto"/>
              <w:ind w:left="0" w:right="0" w:firstLine="0"/>
              <w:jc w:val="left"/>
              <w:rPr>
                <w:rFonts w:ascii="Lato" w:hAnsi="Lato" w:cs="Arial"/>
                <w:color w:val="auto"/>
                <w:sz w:val="20"/>
                <w:szCs w:val="20"/>
              </w:rPr>
            </w:pPr>
          </w:p>
        </w:tc>
        <w:tc>
          <w:tcPr>
            <w:tcW w:w="6660" w:type="dxa"/>
            <w:tcBorders>
              <w:top w:val="single" w:sz="7" w:space="0" w:color="000000"/>
              <w:left w:val="single" w:sz="7" w:space="0" w:color="000000"/>
              <w:bottom w:val="nil"/>
              <w:right w:val="single" w:sz="7" w:space="0" w:color="000000"/>
            </w:tcBorders>
            <w:shd w:val="clear" w:color="auto" w:fill="B3B3B3"/>
          </w:tcPr>
          <w:p w14:paraId="478B152E"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Okna i drzwi balkonowe jednoramowe lub z pojedynczymi skrzydłami i ościeżnicami (łącznie z ćwierćwałkami)</w:t>
            </w:r>
          </w:p>
        </w:tc>
        <w:tc>
          <w:tcPr>
            <w:tcW w:w="1560" w:type="dxa"/>
            <w:tcBorders>
              <w:top w:val="single" w:sz="7" w:space="0" w:color="000000"/>
              <w:left w:val="single" w:sz="7" w:space="0" w:color="000000"/>
              <w:bottom w:val="nil"/>
              <w:right w:val="single" w:sz="7" w:space="0" w:color="000000"/>
            </w:tcBorders>
            <w:shd w:val="clear" w:color="auto" w:fill="B3B3B3"/>
          </w:tcPr>
          <w:p w14:paraId="3DB85FDA" w14:textId="77777777" w:rsidR="006E2DFB" w:rsidRPr="00862FE5" w:rsidRDefault="006E2DFB" w:rsidP="004F7B3F">
            <w:pPr>
              <w:spacing w:after="0" w:line="259" w:lineRule="auto"/>
              <w:ind w:left="0" w:right="0" w:firstLine="0"/>
              <w:jc w:val="left"/>
              <w:rPr>
                <w:rFonts w:ascii="Lato" w:hAnsi="Lato" w:cs="Arial"/>
                <w:color w:val="auto"/>
                <w:sz w:val="20"/>
                <w:szCs w:val="20"/>
              </w:rPr>
            </w:pPr>
          </w:p>
        </w:tc>
      </w:tr>
      <w:tr w:rsidR="00C12CF0" w:rsidRPr="00862FE5" w14:paraId="47A7023E" w14:textId="77777777">
        <w:trPr>
          <w:trHeight w:val="388"/>
        </w:trPr>
        <w:tc>
          <w:tcPr>
            <w:tcW w:w="535" w:type="dxa"/>
            <w:tcBorders>
              <w:top w:val="nil"/>
              <w:left w:val="single" w:sz="7" w:space="0" w:color="000000"/>
              <w:bottom w:val="nil"/>
              <w:right w:val="single" w:sz="7" w:space="0" w:color="000000"/>
            </w:tcBorders>
          </w:tcPr>
          <w:p w14:paraId="2E6F5325"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01</w:t>
            </w:r>
          </w:p>
        </w:tc>
        <w:tc>
          <w:tcPr>
            <w:tcW w:w="6660" w:type="dxa"/>
            <w:tcBorders>
              <w:top w:val="nil"/>
              <w:left w:val="single" w:sz="7" w:space="0" w:color="000000"/>
              <w:bottom w:val="nil"/>
              <w:right w:val="single" w:sz="7" w:space="0" w:color="000000"/>
            </w:tcBorders>
          </w:tcPr>
          <w:p w14:paraId="7FD58229"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bez szczeblin</w:t>
            </w:r>
          </w:p>
        </w:tc>
        <w:tc>
          <w:tcPr>
            <w:tcW w:w="1560" w:type="dxa"/>
            <w:tcBorders>
              <w:top w:val="nil"/>
              <w:left w:val="single" w:sz="7" w:space="0" w:color="000000"/>
              <w:bottom w:val="nil"/>
              <w:right w:val="single" w:sz="7" w:space="0" w:color="000000"/>
            </w:tcBorders>
          </w:tcPr>
          <w:p w14:paraId="3CEF694A"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1,30</w:t>
            </w:r>
          </w:p>
        </w:tc>
      </w:tr>
      <w:tr w:rsidR="00C12CF0" w:rsidRPr="00862FE5" w14:paraId="09C29DAB" w14:textId="77777777">
        <w:trPr>
          <w:trHeight w:val="382"/>
        </w:trPr>
        <w:tc>
          <w:tcPr>
            <w:tcW w:w="535" w:type="dxa"/>
            <w:tcBorders>
              <w:top w:val="nil"/>
              <w:left w:val="single" w:sz="7" w:space="0" w:color="000000"/>
              <w:bottom w:val="nil"/>
              <w:right w:val="single" w:sz="7" w:space="0" w:color="000000"/>
            </w:tcBorders>
          </w:tcPr>
          <w:p w14:paraId="6D0DCD80"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02</w:t>
            </w:r>
          </w:p>
        </w:tc>
        <w:tc>
          <w:tcPr>
            <w:tcW w:w="6660" w:type="dxa"/>
            <w:tcBorders>
              <w:top w:val="nil"/>
              <w:left w:val="single" w:sz="7" w:space="0" w:color="000000"/>
              <w:bottom w:val="nil"/>
              <w:right w:val="single" w:sz="7" w:space="0" w:color="000000"/>
            </w:tcBorders>
          </w:tcPr>
          <w:p w14:paraId="4591A48E"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ze szczeblinami o powierzchni każdej szyby do 0,05 m</w:t>
            </w:r>
            <w:r w:rsidRPr="00862FE5">
              <w:rPr>
                <w:rFonts w:ascii="Lato" w:hAnsi="Lato" w:cs="Arial"/>
                <w:color w:val="auto"/>
                <w:sz w:val="20"/>
                <w:szCs w:val="20"/>
                <w:vertAlign w:val="superscript"/>
              </w:rPr>
              <w:t>2</w:t>
            </w:r>
          </w:p>
        </w:tc>
        <w:tc>
          <w:tcPr>
            <w:tcW w:w="1560" w:type="dxa"/>
            <w:tcBorders>
              <w:top w:val="nil"/>
              <w:left w:val="single" w:sz="7" w:space="0" w:color="000000"/>
              <w:bottom w:val="nil"/>
              <w:right w:val="single" w:sz="7" w:space="0" w:color="000000"/>
            </w:tcBorders>
          </w:tcPr>
          <w:p w14:paraId="7F62BB91"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2,30</w:t>
            </w:r>
          </w:p>
        </w:tc>
      </w:tr>
      <w:tr w:rsidR="00C12CF0" w:rsidRPr="00862FE5" w14:paraId="76D1653D" w14:textId="77777777">
        <w:trPr>
          <w:trHeight w:val="382"/>
        </w:trPr>
        <w:tc>
          <w:tcPr>
            <w:tcW w:w="535" w:type="dxa"/>
            <w:tcBorders>
              <w:top w:val="nil"/>
              <w:left w:val="single" w:sz="7" w:space="0" w:color="000000"/>
              <w:bottom w:val="nil"/>
              <w:right w:val="single" w:sz="7" w:space="0" w:color="000000"/>
            </w:tcBorders>
          </w:tcPr>
          <w:p w14:paraId="0A27637E"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03</w:t>
            </w:r>
          </w:p>
        </w:tc>
        <w:tc>
          <w:tcPr>
            <w:tcW w:w="6660" w:type="dxa"/>
            <w:tcBorders>
              <w:top w:val="nil"/>
              <w:left w:val="single" w:sz="7" w:space="0" w:color="000000"/>
              <w:bottom w:val="nil"/>
              <w:right w:val="single" w:sz="7" w:space="0" w:color="000000"/>
            </w:tcBorders>
          </w:tcPr>
          <w:p w14:paraId="24209F5C"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ze szczeblinami o powierzchni każdej szyby do 0,10 m</w:t>
            </w:r>
            <w:r w:rsidRPr="00862FE5">
              <w:rPr>
                <w:rFonts w:ascii="Lato" w:hAnsi="Lato" w:cs="Arial"/>
                <w:color w:val="auto"/>
                <w:sz w:val="20"/>
                <w:szCs w:val="20"/>
                <w:vertAlign w:val="superscript"/>
              </w:rPr>
              <w:t>2</w:t>
            </w:r>
          </w:p>
        </w:tc>
        <w:tc>
          <w:tcPr>
            <w:tcW w:w="1560" w:type="dxa"/>
            <w:tcBorders>
              <w:top w:val="nil"/>
              <w:left w:val="single" w:sz="7" w:space="0" w:color="000000"/>
              <w:bottom w:val="nil"/>
              <w:right w:val="single" w:sz="7" w:space="0" w:color="000000"/>
            </w:tcBorders>
          </w:tcPr>
          <w:p w14:paraId="128E43F2"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1,90</w:t>
            </w:r>
          </w:p>
        </w:tc>
      </w:tr>
      <w:tr w:rsidR="00C12CF0" w:rsidRPr="00862FE5" w14:paraId="0A268BED" w14:textId="77777777">
        <w:trPr>
          <w:trHeight w:val="382"/>
        </w:trPr>
        <w:tc>
          <w:tcPr>
            <w:tcW w:w="535" w:type="dxa"/>
            <w:tcBorders>
              <w:top w:val="nil"/>
              <w:left w:val="single" w:sz="7" w:space="0" w:color="000000"/>
              <w:bottom w:val="nil"/>
              <w:right w:val="single" w:sz="7" w:space="0" w:color="000000"/>
            </w:tcBorders>
          </w:tcPr>
          <w:p w14:paraId="5A25DC8E"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04</w:t>
            </w:r>
          </w:p>
        </w:tc>
        <w:tc>
          <w:tcPr>
            <w:tcW w:w="6660" w:type="dxa"/>
            <w:tcBorders>
              <w:top w:val="nil"/>
              <w:left w:val="single" w:sz="7" w:space="0" w:color="000000"/>
              <w:bottom w:val="nil"/>
              <w:right w:val="single" w:sz="7" w:space="0" w:color="000000"/>
            </w:tcBorders>
          </w:tcPr>
          <w:p w14:paraId="798B161D"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ze szczeblinami o powierzchni każdej szyby do 0,20 m</w:t>
            </w:r>
            <w:r w:rsidRPr="00862FE5">
              <w:rPr>
                <w:rFonts w:ascii="Lato" w:hAnsi="Lato" w:cs="Arial"/>
                <w:color w:val="auto"/>
                <w:sz w:val="20"/>
                <w:szCs w:val="20"/>
                <w:vertAlign w:val="superscript"/>
              </w:rPr>
              <w:t>2</w:t>
            </w:r>
          </w:p>
        </w:tc>
        <w:tc>
          <w:tcPr>
            <w:tcW w:w="1560" w:type="dxa"/>
            <w:tcBorders>
              <w:top w:val="nil"/>
              <w:left w:val="single" w:sz="7" w:space="0" w:color="000000"/>
              <w:bottom w:val="nil"/>
              <w:right w:val="single" w:sz="7" w:space="0" w:color="000000"/>
            </w:tcBorders>
          </w:tcPr>
          <w:p w14:paraId="67DC5144"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1,70</w:t>
            </w:r>
          </w:p>
        </w:tc>
      </w:tr>
      <w:tr w:rsidR="00C12CF0" w:rsidRPr="00862FE5" w14:paraId="2D99A88C" w14:textId="77777777">
        <w:trPr>
          <w:trHeight w:val="390"/>
        </w:trPr>
        <w:tc>
          <w:tcPr>
            <w:tcW w:w="535" w:type="dxa"/>
            <w:tcBorders>
              <w:top w:val="nil"/>
              <w:left w:val="single" w:sz="7" w:space="0" w:color="000000"/>
              <w:bottom w:val="nil"/>
              <w:right w:val="single" w:sz="7" w:space="0" w:color="000000"/>
            </w:tcBorders>
          </w:tcPr>
          <w:p w14:paraId="03D2BDFF"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05</w:t>
            </w:r>
          </w:p>
        </w:tc>
        <w:tc>
          <w:tcPr>
            <w:tcW w:w="6660" w:type="dxa"/>
            <w:tcBorders>
              <w:top w:val="nil"/>
              <w:left w:val="single" w:sz="7" w:space="0" w:color="000000"/>
              <w:bottom w:val="nil"/>
              <w:right w:val="single" w:sz="7" w:space="0" w:color="000000"/>
            </w:tcBorders>
          </w:tcPr>
          <w:p w14:paraId="46CF8A45"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ze szczeblinami o powierzchni każdej szyby ponad 0,20 m</w:t>
            </w:r>
            <w:r w:rsidRPr="00862FE5">
              <w:rPr>
                <w:rFonts w:ascii="Lato" w:hAnsi="Lato" w:cs="Arial"/>
                <w:color w:val="auto"/>
                <w:sz w:val="20"/>
                <w:szCs w:val="20"/>
                <w:vertAlign w:val="superscript"/>
              </w:rPr>
              <w:t>2</w:t>
            </w:r>
          </w:p>
        </w:tc>
        <w:tc>
          <w:tcPr>
            <w:tcW w:w="1560" w:type="dxa"/>
            <w:tcBorders>
              <w:top w:val="nil"/>
              <w:left w:val="single" w:sz="7" w:space="0" w:color="000000"/>
              <w:bottom w:val="nil"/>
              <w:right w:val="single" w:sz="7" w:space="0" w:color="000000"/>
            </w:tcBorders>
          </w:tcPr>
          <w:p w14:paraId="22F86078"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1,50</w:t>
            </w:r>
          </w:p>
        </w:tc>
      </w:tr>
      <w:tr w:rsidR="00C12CF0" w:rsidRPr="00862FE5" w14:paraId="0C2343BA" w14:textId="77777777">
        <w:trPr>
          <w:trHeight w:val="367"/>
        </w:trPr>
        <w:tc>
          <w:tcPr>
            <w:tcW w:w="535" w:type="dxa"/>
            <w:tcBorders>
              <w:top w:val="nil"/>
              <w:left w:val="single" w:sz="7" w:space="0" w:color="000000"/>
              <w:bottom w:val="nil"/>
              <w:right w:val="single" w:sz="7" w:space="0" w:color="000000"/>
            </w:tcBorders>
            <w:shd w:val="clear" w:color="auto" w:fill="B3B3B3"/>
          </w:tcPr>
          <w:p w14:paraId="7AE3CB3D" w14:textId="77777777" w:rsidR="006E2DFB" w:rsidRPr="00862FE5" w:rsidRDefault="006E2DFB" w:rsidP="004F7B3F">
            <w:pPr>
              <w:spacing w:after="0" w:line="259" w:lineRule="auto"/>
              <w:ind w:left="0" w:right="0" w:firstLine="0"/>
              <w:jc w:val="left"/>
              <w:rPr>
                <w:rFonts w:ascii="Lato" w:hAnsi="Lato" w:cs="Arial"/>
                <w:color w:val="auto"/>
                <w:sz w:val="20"/>
                <w:szCs w:val="20"/>
              </w:rPr>
            </w:pPr>
          </w:p>
        </w:tc>
        <w:tc>
          <w:tcPr>
            <w:tcW w:w="6660" w:type="dxa"/>
            <w:tcBorders>
              <w:top w:val="nil"/>
              <w:left w:val="single" w:sz="7" w:space="0" w:color="000000"/>
              <w:bottom w:val="nil"/>
              <w:right w:val="single" w:sz="7" w:space="0" w:color="000000"/>
            </w:tcBorders>
            <w:shd w:val="clear" w:color="auto" w:fill="B3B3B3"/>
          </w:tcPr>
          <w:p w14:paraId="0FF8CED6"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xml:space="preserve">Okna i drzwi balkonowe z podwójnymi skrzydłami </w:t>
            </w:r>
          </w:p>
        </w:tc>
        <w:tc>
          <w:tcPr>
            <w:tcW w:w="1560" w:type="dxa"/>
            <w:tcBorders>
              <w:top w:val="nil"/>
              <w:left w:val="single" w:sz="7" w:space="0" w:color="000000"/>
              <w:bottom w:val="nil"/>
              <w:right w:val="single" w:sz="7" w:space="0" w:color="000000"/>
            </w:tcBorders>
            <w:shd w:val="clear" w:color="auto" w:fill="B3B3B3"/>
          </w:tcPr>
          <w:p w14:paraId="57239BF7" w14:textId="77777777" w:rsidR="006E2DFB" w:rsidRPr="00862FE5" w:rsidRDefault="006E2DFB" w:rsidP="004F7B3F">
            <w:pPr>
              <w:spacing w:after="0" w:line="259" w:lineRule="auto"/>
              <w:ind w:left="0" w:right="0" w:firstLine="0"/>
              <w:jc w:val="left"/>
              <w:rPr>
                <w:rFonts w:ascii="Lato" w:hAnsi="Lato" w:cs="Arial"/>
                <w:color w:val="auto"/>
                <w:sz w:val="20"/>
                <w:szCs w:val="20"/>
              </w:rPr>
            </w:pPr>
          </w:p>
        </w:tc>
      </w:tr>
      <w:tr w:rsidR="00C12CF0" w:rsidRPr="00862FE5" w14:paraId="3B5E64EA" w14:textId="77777777">
        <w:trPr>
          <w:trHeight w:val="388"/>
        </w:trPr>
        <w:tc>
          <w:tcPr>
            <w:tcW w:w="535" w:type="dxa"/>
            <w:tcBorders>
              <w:top w:val="nil"/>
              <w:left w:val="single" w:sz="7" w:space="0" w:color="000000"/>
              <w:bottom w:val="nil"/>
              <w:right w:val="single" w:sz="7" w:space="0" w:color="000000"/>
            </w:tcBorders>
          </w:tcPr>
          <w:p w14:paraId="3FE9E6C0"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06</w:t>
            </w:r>
          </w:p>
        </w:tc>
        <w:tc>
          <w:tcPr>
            <w:tcW w:w="6660" w:type="dxa"/>
            <w:tcBorders>
              <w:top w:val="nil"/>
              <w:left w:val="single" w:sz="7" w:space="0" w:color="000000"/>
              <w:bottom w:val="nil"/>
              <w:right w:val="single" w:sz="7" w:space="0" w:color="000000"/>
            </w:tcBorders>
          </w:tcPr>
          <w:p w14:paraId="0B4625BA"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bez szczeblin</w:t>
            </w:r>
          </w:p>
        </w:tc>
        <w:tc>
          <w:tcPr>
            <w:tcW w:w="1560" w:type="dxa"/>
            <w:tcBorders>
              <w:top w:val="nil"/>
              <w:left w:val="single" w:sz="7" w:space="0" w:color="000000"/>
              <w:bottom w:val="nil"/>
              <w:right w:val="single" w:sz="7" w:space="0" w:color="000000"/>
            </w:tcBorders>
          </w:tcPr>
          <w:p w14:paraId="1D21F91C"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1,90</w:t>
            </w:r>
          </w:p>
        </w:tc>
      </w:tr>
      <w:tr w:rsidR="00C12CF0" w:rsidRPr="00862FE5" w14:paraId="52A85BD9" w14:textId="77777777">
        <w:trPr>
          <w:trHeight w:val="382"/>
        </w:trPr>
        <w:tc>
          <w:tcPr>
            <w:tcW w:w="535" w:type="dxa"/>
            <w:tcBorders>
              <w:top w:val="nil"/>
              <w:left w:val="single" w:sz="7" w:space="0" w:color="000000"/>
              <w:bottom w:val="nil"/>
              <w:right w:val="single" w:sz="7" w:space="0" w:color="000000"/>
            </w:tcBorders>
          </w:tcPr>
          <w:p w14:paraId="2F523243"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07</w:t>
            </w:r>
          </w:p>
        </w:tc>
        <w:tc>
          <w:tcPr>
            <w:tcW w:w="6660" w:type="dxa"/>
            <w:tcBorders>
              <w:top w:val="nil"/>
              <w:left w:val="single" w:sz="7" w:space="0" w:color="000000"/>
              <w:bottom w:val="nil"/>
              <w:right w:val="single" w:sz="7" w:space="0" w:color="000000"/>
            </w:tcBorders>
          </w:tcPr>
          <w:p w14:paraId="7F5EF23A"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ze szczeblinami o powierzchni każdej szyby do 0,05 m</w:t>
            </w:r>
            <w:r w:rsidRPr="00862FE5">
              <w:rPr>
                <w:rFonts w:ascii="Lato" w:hAnsi="Lato" w:cs="Arial"/>
                <w:color w:val="auto"/>
                <w:sz w:val="20"/>
                <w:szCs w:val="20"/>
                <w:vertAlign w:val="superscript"/>
              </w:rPr>
              <w:t>2</w:t>
            </w:r>
          </w:p>
        </w:tc>
        <w:tc>
          <w:tcPr>
            <w:tcW w:w="1560" w:type="dxa"/>
            <w:tcBorders>
              <w:top w:val="nil"/>
              <w:left w:val="single" w:sz="7" w:space="0" w:color="000000"/>
              <w:bottom w:val="nil"/>
              <w:right w:val="single" w:sz="7" w:space="0" w:color="000000"/>
            </w:tcBorders>
          </w:tcPr>
          <w:p w14:paraId="787F9C9E"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4,00</w:t>
            </w:r>
          </w:p>
        </w:tc>
      </w:tr>
      <w:tr w:rsidR="00C12CF0" w:rsidRPr="00862FE5" w14:paraId="1237F8B3" w14:textId="77777777">
        <w:trPr>
          <w:trHeight w:val="382"/>
        </w:trPr>
        <w:tc>
          <w:tcPr>
            <w:tcW w:w="535" w:type="dxa"/>
            <w:tcBorders>
              <w:top w:val="nil"/>
              <w:left w:val="single" w:sz="7" w:space="0" w:color="000000"/>
              <w:bottom w:val="nil"/>
              <w:right w:val="single" w:sz="7" w:space="0" w:color="000000"/>
            </w:tcBorders>
          </w:tcPr>
          <w:p w14:paraId="1FD876D1"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08</w:t>
            </w:r>
          </w:p>
        </w:tc>
        <w:tc>
          <w:tcPr>
            <w:tcW w:w="6660" w:type="dxa"/>
            <w:tcBorders>
              <w:top w:val="nil"/>
              <w:left w:val="single" w:sz="7" w:space="0" w:color="000000"/>
              <w:bottom w:val="nil"/>
              <w:right w:val="single" w:sz="7" w:space="0" w:color="000000"/>
            </w:tcBorders>
          </w:tcPr>
          <w:p w14:paraId="4E52E161"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ze szczeblinami o powierzchni każdej szyby do 0,10 m</w:t>
            </w:r>
            <w:r w:rsidRPr="00862FE5">
              <w:rPr>
                <w:rFonts w:ascii="Lato" w:hAnsi="Lato" w:cs="Arial"/>
                <w:color w:val="auto"/>
                <w:sz w:val="20"/>
                <w:szCs w:val="20"/>
                <w:vertAlign w:val="superscript"/>
              </w:rPr>
              <w:t>2</w:t>
            </w:r>
          </w:p>
        </w:tc>
        <w:tc>
          <w:tcPr>
            <w:tcW w:w="1560" w:type="dxa"/>
            <w:tcBorders>
              <w:top w:val="nil"/>
              <w:left w:val="single" w:sz="7" w:space="0" w:color="000000"/>
              <w:bottom w:val="nil"/>
              <w:right w:val="single" w:sz="7" w:space="0" w:color="000000"/>
            </w:tcBorders>
          </w:tcPr>
          <w:p w14:paraId="5C9D1B95"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3,20</w:t>
            </w:r>
          </w:p>
        </w:tc>
      </w:tr>
      <w:tr w:rsidR="00C12CF0" w:rsidRPr="00862FE5" w14:paraId="6801A922" w14:textId="77777777">
        <w:trPr>
          <w:trHeight w:val="382"/>
        </w:trPr>
        <w:tc>
          <w:tcPr>
            <w:tcW w:w="535" w:type="dxa"/>
            <w:tcBorders>
              <w:top w:val="nil"/>
              <w:left w:val="single" w:sz="7" w:space="0" w:color="000000"/>
              <w:bottom w:val="nil"/>
              <w:right w:val="single" w:sz="7" w:space="0" w:color="000000"/>
            </w:tcBorders>
          </w:tcPr>
          <w:p w14:paraId="084CAF24"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09</w:t>
            </w:r>
          </w:p>
        </w:tc>
        <w:tc>
          <w:tcPr>
            <w:tcW w:w="6660" w:type="dxa"/>
            <w:tcBorders>
              <w:top w:val="nil"/>
              <w:left w:val="single" w:sz="7" w:space="0" w:color="000000"/>
              <w:bottom w:val="nil"/>
              <w:right w:val="single" w:sz="7" w:space="0" w:color="000000"/>
            </w:tcBorders>
          </w:tcPr>
          <w:p w14:paraId="00E7AFD4"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ze szczeblinami o powierzchni każdej szyby do 0,20 m</w:t>
            </w:r>
            <w:r w:rsidRPr="00862FE5">
              <w:rPr>
                <w:rFonts w:ascii="Lato" w:hAnsi="Lato" w:cs="Arial"/>
                <w:color w:val="auto"/>
                <w:sz w:val="20"/>
                <w:szCs w:val="20"/>
                <w:vertAlign w:val="superscript"/>
              </w:rPr>
              <w:t>2</w:t>
            </w:r>
          </w:p>
        </w:tc>
        <w:tc>
          <w:tcPr>
            <w:tcW w:w="1560" w:type="dxa"/>
            <w:tcBorders>
              <w:top w:val="nil"/>
              <w:left w:val="single" w:sz="7" w:space="0" w:color="000000"/>
              <w:bottom w:val="nil"/>
              <w:right w:val="single" w:sz="7" w:space="0" w:color="000000"/>
            </w:tcBorders>
          </w:tcPr>
          <w:p w14:paraId="535110E3"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2,75</w:t>
            </w:r>
          </w:p>
        </w:tc>
      </w:tr>
      <w:tr w:rsidR="00C12CF0" w:rsidRPr="00862FE5" w14:paraId="26D6E0F1" w14:textId="77777777">
        <w:trPr>
          <w:trHeight w:val="390"/>
        </w:trPr>
        <w:tc>
          <w:tcPr>
            <w:tcW w:w="535" w:type="dxa"/>
            <w:tcBorders>
              <w:top w:val="nil"/>
              <w:left w:val="single" w:sz="7" w:space="0" w:color="000000"/>
              <w:bottom w:val="nil"/>
              <w:right w:val="single" w:sz="7" w:space="0" w:color="000000"/>
            </w:tcBorders>
          </w:tcPr>
          <w:p w14:paraId="22C26C66"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10</w:t>
            </w:r>
          </w:p>
        </w:tc>
        <w:tc>
          <w:tcPr>
            <w:tcW w:w="6660" w:type="dxa"/>
            <w:tcBorders>
              <w:top w:val="nil"/>
              <w:left w:val="single" w:sz="7" w:space="0" w:color="000000"/>
              <w:bottom w:val="nil"/>
              <w:right w:val="single" w:sz="7" w:space="0" w:color="000000"/>
            </w:tcBorders>
          </w:tcPr>
          <w:p w14:paraId="17C53FE0"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ze szczeblinami o powierzchni każdej szyby ponad 0,20 m</w:t>
            </w:r>
            <w:r w:rsidRPr="00862FE5">
              <w:rPr>
                <w:rFonts w:ascii="Lato" w:hAnsi="Lato" w:cs="Arial"/>
                <w:color w:val="auto"/>
                <w:sz w:val="20"/>
                <w:szCs w:val="20"/>
                <w:vertAlign w:val="superscript"/>
              </w:rPr>
              <w:t>2</w:t>
            </w:r>
          </w:p>
        </w:tc>
        <w:tc>
          <w:tcPr>
            <w:tcW w:w="1560" w:type="dxa"/>
            <w:tcBorders>
              <w:top w:val="nil"/>
              <w:left w:val="single" w:sz="7" w:space="0" w:color="000000"/>
              <w:bottom w:val="nil"/>
              <w:right w:val="single" w:sz="7" w:space="0" w:color="000000"/>
            </w:tcBorders>
          </w:tcPr>
          <w:p w14:paraId="05303E68"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2,30</w:t>
            </w:r>
          </w:p>
        </w:tc>
      </w:tr>
      <w:tr w:rsidR="00C12CF0" w:rsidRPr="00862FE5" w14:paraId="189D9CAB" w14:textId="77777777">
        <w:trPr>
          <w:trHeight w:val="367"/>
        </w:trPr>
        <w:tc>
          <w:tcPr>
            <w:tcW w:w="535" w:type="dxa"/>
            <w:tcBorders>
              <w:top w:val="nil"/>
              <w:left w:val="single" w:sz="7" w:space="0" w:color="000000"/>
              <w:bottom w:val="nil"/>
              <w:right w:val="single" w:sz="7" w:space="0" w:color="000000"/>
            </w:tcBorders>
            <w:shd w:val="clear" w:color="auto" w:fill="B3B3B3"/>
          </w:tcPr>
          <w:p w14:paraId="1C804A21"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xml:space="preserve"> </w:t>
            </w:r>
          </w:p>
        </w:tc>
        <w:tc>
          <w:tcPr>
            <w:tcW w:w="6660" w:type="dxa"/>
            <w:tcBorders>
              <w:top w:val="nil"/>
              <w:left w:val="single" w:sz="7" w:space="0" w:color="000000"/>
              <w:bottom w:val="nil"/>
              <w:right w:val="single" w:sz="7" w:space="0" w:color="000000"/>
            </w:tcBorders>
            <w:shd w:val="clear" w:color="auto" w:fill="B3B3B3"/>
          </w:tcPr>
          <w:p w14:paraId="00A89FE5"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Drzwi z ościeżnicami (łącznie ćwierćwałkami) i skrzydłami</w:t>
            </w:r>
          </w:p>
        </w:tc>
        <w:tc>
          <w:tcPr>
            <w:tcW w:w="1560" w:type="dxa"/>
            <w:tcBorders>
              <w:top w:val="nil"/>
              <w:left w:val="single" w:sz="7" w:space="0" w:color="000000"/>
              <w:bottom w:val="nil"/>
              <w:right w:val="single" w:sz="7" w:space="0" w:color="000000"/>
            </w:tcBorders>
            <w:shd w:val="clear" w:color="auto" w:fill="B3B3B3"/>
          </w:tcPr>
          <w:p w14:paraId="600AC7BE" w14:textId="77777777" w:rsidR="006E2DFB" w:rsidRPr="00862FE5" w:rsidRDefault="006E2DFB" w:rsidP="004F7B3F">
            <w:pPr>
              <w:spacing w:after="0" w:line="259" w:lineRule="auto"/>
              <w:ind w:left="0" w:right="0" w:firstLine="0"/>
              <w:jc w:val="left"/>
              <w:rPr>
                <w:rFonts w:ascii="Lato" w:hAnsi="Lato" w:cs="Arial"/>
                <w:color w:val="auto"/>
                <w:sz w:val="20"/>
                <w:szCs w:val="20"/>
              </w:rPr>
            </w:pPr>
          </w:p>
        </w:tc>
      </w:tr>
      <w:tr w:rsidR="00C12CF0" w:rsidRPr="00862FE5" w14:paraId="143A53FD" w14:textId="77777777">
        <w:trPr>
          <w:trHeight w:val="388"/>
        </w:trPr>
        <w:tc>
          <w:tcPr>
            <w:tcW w:w="535" w:type="dxa"/>
            <w:tcBorders>
              <w:top w:val="nil"/>
              <w:left w:val="single" w:sz="7" w:space="0" w:color="000000"/>
              <w:bottom w:val="nil"/>
              <w:right w:val="single" w:sz="7" w:space="0" w:color="000000"/>
            </w:tcBorders>
          </w:tcPr>
          <w:p w14:paraId="7190067D"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11</w:t>
            </w:r>
          </w:p>
        </w:tc>
        <w:tc>
          <w:tcPr>
            <w:tcW w:w="6660" w:type="dxa"/>
            <w:tcBorders>
              <w:top w:val="nil"/>
              <w:left w:val="single" w:sz="7" w:space="0" w:color="000000"/>
              <w:bottom w:val="nil"/>
              <w:right w:val="single" w:sz="7" w:space="0" w:color="000000"/>
            </w:tcBorders>
          </w:tcPr>
          <w:p w14:paraId="3D55D65B"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pełnymi lub z jedną szybą o powierzchni do 0,2 m</w:t>
            </w:r>
            <w:r w:rsidRPr="00862FE5">
              <w:rPr>
                <w:rFonts w:ascii="Lato" w:hAnsi="Lato" w:cs="Arial"/>
                <w:color w:val="auto"/>
                <w:sz w:val="20"/>
                <w:szCs w:val="20"/>
                <w:vertAlign w:val="superscript"/>
              </w:rPr>
              <w:t>2</w:t>
            </w:r>
          </w:p>
        </w:tc>
        <w:tc>
          <w:tcPr>
            <w:tcW w:w="1560" w:type="dxa"/>
            <w:tcBorders>
              <w:top w:val="nil"/>
              <w:left w:val="single" w:sz="7" w:space="0" w:color="000000"/>
              <w:bottom w:val="nil"/>
              <w:right w:val="single" w:sz="7" w:space="0" w:color="000000"/>
            </w:tcBorders>
          </w:tcPr>
          <w:p w14:paraId="210D3F19"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2,10</w:t>
            </w:r>
          </w:p>
        </w:tc>
      </w:tr>
      <w:tr w:rsidR="00C12CF0" w:rsidRPr="00862FE5" w14:paraId="728F06B1" w14:textId="77777777">
        <w:trPr>
          <w:trHeight w:val="383"/>
        </w:trPr>
        <w:tc>
          <w:tcPr>
            <w:tcW w:w="535" w:type="dxa"/>
            <w:tcBorders>
              <w:top w:val="nil"/>
              <w:left w:val="single" w:sz="7" w:space="0" w:color="000000"/>
              <w:bottom w:val="nil"/>
              <w:right w:val="single" w:sz="7" w:space="0" w:color="000000"/>
            </w:tcBorders>
          </w:tcPr>
          <w:p w14:paraId="1CB4C357"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lastRenderedPageBreak/>
              <w:t>12</w:t>
            </w:r>
          </w:p>
        </w:tc>
        <w:tc>
          <w:tcPr>
            <w:tcW w:w="6660" w:type="dxa"/>
            <w:tcBorders>
              <w:top w:val="nil"/>
              <w:left w:val="single" w:sz="7" w:space="0" w:color="000000"/>
              <w:bottom w:val="nil"/>
              <w:right w:val="single" w:sz="7" w:space="0" w:color="000000"/>
            </w:tcBorders>
          </w:tcPr>
          <w:p w14:paraId="5DB69D72"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pełnymi z obramowaniem gładkim</w:t>
            </w:r>
          </w:p>
        </w:tc>
        <w:tc>
          <w:tcPr>
            <w:tcW w:w="1560" w:type="dxa"/>
            <w:tcBorders>
              <w:top w:val="nil"/>
              <w:left w:val="single" w:sz="7" w:space="0" w:color="000000"/>
              <w:bottom w:val="nil"/>
              <w:right w:val="single" w:sz="7" w:space="0" w:color="000000"/>
            </w:tcBorders>
          </w:tcPr>
          <w:p w14:paraId="41C30B23"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2,50</w:t>
            </w:r>
          </w:p>
        </w:tc>
      </w:tr>
      <w:tr w:rsidR="00C12CF0" w:rsidRPr="00862FE5" w14:paraId="5D4CAB5D" w14:textId="77777777">
        <w:trPr>
          <w:trHeight w:val="384"/>
        </w:trPr>
        <w:tc>
          <w:tcPr>
            <w:tcW w:w="535" w:type="dxa"/>
            <w:tcBorders>
              <w:top w:val="nil"/>
              <w:left w:val="single" w:sz="7" w:space="0" w:color="000000"/>
              <w:bottom w:val="nil"/>
              <w:right w:val="single" w:sz="7" w:space="0" w:color="000000"/>
            </w:tcBorders>
          </w:tcPr>
          <w:p w14:paraId="7400B15A"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13</w:t>
            </w:r>
          </w:p>
        </w:tc>
        <w:tc>
          <w:tcPr>
            <w:tcW w:w="6660" w:type="dxa"/>
            <w:tcBorders>
              <w:top w:val="nil"/>
              <w:left w:val="single" w:sz="7" w:space="0" w:color="000000"/>
              <w:bottom w:val="nil"/>
              <w:right w:val="single" w:sz="7" w:space="0" w:color="000000"/>
            </w:tcBorders>
          </w:tcPr>
          <w:p w14:paraId="59A0D00A"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pełnymi z obramowaniem profilowanym</w:t>
            </w:r>
          </w:p>
        </w:tc>
        <w:tc>
          <w:tcPr>
            <w:tcW w:w="1560" w:type="dxa"/>
            <w:tcBorders>
              <w:top w:val="nil"/>
              <w:left w:val="single" w:sz="7" w:space="0" w:color="000000"/>
              <w:bottom w:val="nil"/>
              <w:right w:val="single" w:sz="7" w:space="0" w:color="000000"/>
            </w:tcBorders>
          </w:tcPr>
          <w:p w14:paraId="095A03B3"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3,00</w:t>
            </w:r>
          </w:p>
        </w:tc>
      </w:tr>
      <w:tr w:rsidR="00C12CF0" w:rsidRPr="00862FE5" w14:paraId="721B6F47" w14:textId="77777777">
        <w:trPr>
          <w:trHeight w:val="631"/>
        </w:trPr>
        <w:tc>
          <w:tcPr>
            <w:tcW w:w="535" w:type="dxa"/>
            <w:tcBorders>
              <w:top w:val="nil"/>
              <w:left w:val="single" w:sz="7" w:space="0" w:color="000000"/>
              <w:bottom w:val="nil"/>
              <w:right w:val="single" w:sz="7" w:space="0" w:color="000000"/>
            </w:tcBorders>
          </w:tcPr>
          <w:p w14:paraId="6156F79C"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14</w:t>
            </w:r>
          </w:p>
        </w:tc>
        <w:tc>
          <w:tcPr>
            <w:tcW w:w="6660" w:type="dxa"/>
            <w:tcBorders>
              <w:top w:val="nil"/>
              <w:left w:val="single" w:sz="7" w:space="0" w:color="000000"/>
              <w:bottom w:val="nil"/>
              <w:right w:val="single" w:sz="7" w:space="0" w:color="000000"/>
            </w:tcBorders>
          </w:tcPr>
          <w:p w14:paraId="6065F9EE" w14:textId="77777777" w:rsidR="006E2DFB" w:rsidRPr="00862FE5" w:rsidRDefault="00AA110B" w:rsidP="004F7B3F">
            <w:pPr>
              <w:spacing w:after="0" w:line="259" w:lineRule="auto"/>
              <w:ind w:left="211" w:right="0" w:hanging="211"/>
              <w:jc w:val="left"/>
              <w:rPr>
                <w:rFonts w:ascii="Lato" w:hAnsi="Lato" w:cs="Arial"/>
                <w:color w:val="auto"/>
                <w:sz w:val="20"/>
                <w:szCs w:val="20"/>
              </w:rPr>
            </w:pPr>
            <w:r w:rsidRPr="00862FE5">
              <w:rPr>
                <w:rFonts w:ascii="Lato" w:hAnsi="Lato" w:cs="Arial"/>
                <w:color w:val="auto"/>
                <w:sz w:val="20"/>
                <w:szCs w:val="20"/>
              </w:rPr>
              <w:t>– szklonymi z dwiema lub więcej szybami o powierzchni do 0,1 m</w:t>
            </w:r>
            <w:r w:rsidRPr="00862FE5">
              <w:rPr>
                <w:rFonts w:ascii="Lato" w:hAnsi="Lato" w:cs="Arial"/>
                <w:color w:val="auto"/>
                <w:sz w:val="20"/>
                <w:szCs w:val="20"/>
                <w:vertAlign w:val="superscript"/>
              </w:rPr>
              <w:t xml:space="preserve">2 </w:t>
            </w:r>
            <w:r w:rsidRPr="00862FE5">
              <w:rPr>
                <w:rFonts w:ascii="Lato" w:hAnsi="Lato" w:cs="Arial"/>
                <w:color w:val="auto"/>
                <w:sz w:val="20"/>
                <w:szCs w:val="20"/>
              </w:rPr>
              <w:t>każdej szyby</w:t>
            </w:r>
          </w:p>
        </w:tc>
        <w:tc>
          <w:tcPr>
            <w:tcW w:w="1560" w:type="dxa"/>
            <w:tcBorders>
              <w:top w:val="nil"/>
              <w:left w:val="single" w:sz="7" w:space="0" w:color="000000"/>
              <w:bottom w:val="nil"/>
              <w:right w:val="single" w:sz="7" w:space="0" w:color="000000"/>
            </w:tcBorders>
          </w:tcPr>
          <w:p w14:paraId="43320CA2"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2,50</w:t>
            </w:r>
          </w:p>
        </w:tc>
      </w:tr>
      <w:tr w:rsidR="00C12CF0" w:rsidRPr="00862FE5" w14:paraId="2A60250B" w14:textId="77777777">
        <w:trPr>
          <w:trHeight w:val="631"/>
        </w:trPr>
        <w:tc>
          <w:tcPr>
            <w:tcW w:w="535" w:type="dxa"/>
            <w:tcBorders>
              <w:top w:val="nil"/>
              <w:left w:val="single" w:sz="7" w:space="0" w:color="000000"/>
              <w:bottom w:val="nil"/>
              <w:right w:val="single" w:sz="7" w:space="0" w:color="000000"/>
            </w:tcBorders>
          </w:tcPr>
          <w:p w14:paraId="2188DB20"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15</w:t>
            </w:r>
          </w:p>
        </w:tc>
        <w:tc>
          <w:tcPr>
            <w:tcW w:w="6660" w:type="dxa"/>
            <w:tcBorders>
              <w:top w:val="nil"/>
              <w:left w:val="single" w:sz="7" w:space="0" w:color="000000"/>
              <w:bottom w:val="nil"/>
              <w:right w:val="single" w:sz="7" w:space="0" w:color="000000"/>
            </w:tcBorders>
          </w:tcPr>
          <w:p w14:paraId="1A4B167F" w14:textId="77777777" w:rsidR="006E2DFB" w:rsidRPr="00862FE5" w:rsidRDefault="00AA110B" w:rsidP="004F7B3F">
            <w:pPr>
              <w:spacing w:after="0" w:line="259" w:lineRule="auto"/>
              <w:ind w:left="211" w:right="0" w:hanging="211"/>
              <w:jc w:val="left"/>
              <w:rPr>
                <w:rFonts w:ascii="Lato" w:hAnsi="Lato" w:cs="Arial"/>
                <w:color w:val="auto"/>
                <w:sz w:val="20"/>
                <w:szCs w:val="20"/>
              </w:rPr>
            </w:pPr>
            <w:r w:rsidRPr="00862FE5">
              <w:rPr>
                <w:rFonts w:ascii="Lato" w:hAnsi="Lato" w:cs="Arial"/>
                <w:color w:val="auto"/>
                <w:sz w:val="20"/>
                <w:szCs w:val="20"/>
              </w:rPr>
              <w:t>– szklonymi z dwiema lub więcej szybami o powierzchni ponad 0,1 m</w:t>
            </w:r>
            <w:r w:rsidRPr="00862FE5">
              <w:rPr>
                <w:rFonts w:ascii="Lato" w:hAnsi="Lato" w:cs="Arial"/>
                <w:color w:val="auto"/>
                <w:sz w:val="20"/>
                <w:szCs w:val="20"/>
                <w:vertAlign w:val="superscript"/>
              </w:rPr>
              <w:t>2</w:t>
            </w:r>
            <w:r w:rsidRPr="00862FE5">
              <w:rPr>
                <w:rFonts w:ascii="Lato" w:hAnsi="Lato" w:cs="Arial"/>
                <w:color w:val="auto"/>
                <w:sz w:val="20"/>
                <w:szCs w:val="20"/>
              </w:rPr>
              <w:t xml:space="preserve"> każdej szyby</w:t>
            </w:r>
          </w:p>
        </w:tc>
        <w:tc>
          <w:tcPr>
            <w:tcW w:w="1560" w:type="dxa"/>
            <w:tcBorders>
              <w:top w:val="nil"/>
              <w:left w:val="single" w:sz="7" w:space="0" w:color="000000"/>
              <w:bottom w:val="nil"/>
              <w:right w:val="single" w:sz="7" w:space="0" w:color="000000"/>
            </w:tcBorders>
          </w:tcPr>
          <w:p w14:paraId="4DAABEA2"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2,10</w:t>
            </w:r>
          </w:p>
        </w:tc>
      </w:tr>
      <w:tr w:rsidR="00C12CF0" w:rsidRPr="00862FE5" w14:paraId="1D329A3C" w14:textId="77777777">
        <w:trPr>
          <w:trHeight w:val="382"/>
        </w:trPr>
        <w:tc>
          <w:tcPr>
            <w:tcW w:w="535" w:type="dxa"/>
            <w:tcBorders>
              <w:top w:val="nil"/>
              <w:left w:val="single" w:sz="7" w:space="0" w:color="000000"/>
              <w:bottom w:val="single" w:sz="7" w:space="0" w:color="000000"/>
              <w:right w:val="single" w:sz="7" w:space="0" w:color="000000"/>
            </w:tcBorders>
          </w:tcPr>
          <w:p w14:paraId="4579E8D1" w14:textId="77777777" w:rsidR="006E2DFB" w:rsidRPr="00862FE5" w:rsidRDefault="00AA110B" w:rsidP="004F7B3F">
            <w:pPr>
              <w:spacing w:after="0" w:line="259" w:lineRule="auto"/>
              <w:ind w:left="77" w:right="0" w:firstLine="0"/>
              <w:jc w:val="left"/>
              <w:rPr>
                <w:rFonts w:ascii="Lato" w:hAnsi="Lato" w:cs="Arial"/>
                <w:color w:val="auto"/>
                <w:sz w:val="20"/>
                <w:szCs w:val="20"/>
              </w:rPr>
            </w:pPr>
            <w:r w:rsidRPr="00862FE5">
              <w:rPr>
                <w:rFonts w:ascii="Lato" w:hAnsi="Lato" w:cs="Arial"/>
                <w:color w:val="auto"/>
                <w:sz w:val="20"/>
                <w:szCs w:val="20"/>
              </w:rPr>
              <w:t>16</w:t>
            </w:r>
          </w:p>
        </w:tc>
        <w:tc>
          <w:tcPr>
            <w:tcW w:w="6660" w:type="dxa"/>
            <w:tcBorders>
              <w:top w:val="nil"/>
              <w:left w:val="single" w:sz="7" w:space="0" w:color="000000"/>
              <w:bottom w:val="single" w:sz="7" w:space="0" w:color="000000"/>
              <w:right w:val="single" w:sz="7" w:space="0" w:color="000000"/>
            </w:tcBorders>
          </w:tcPr>
          <w:p w14:paraId="70E58140" w14:textId="77777777" w:rsidR="006E2DFB" w:rsidRPr="00862FE5" w:rsidRDefault="00AA110B" w:rsidP="004F7B3F">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 całkowicie szklonymi z dolnym ramiakiem o wysokości do 30 cm</w:t>
            </w:r>
          </w:p>
        </w:tc>
        <w:tc>
          <w:tcPr>
            <w:tcW w:w="1560" w:type="dxa"/>
            <w:tcBorders>
              <w:top w:val="nil"/>
              <w:left w:val="single" w:sz="7" w:space="0" w:color="000000"/>
              <w:bottom w:val="single" w:sz="7" w:space="0" w:color="000000"/>
              <w:right w:val="single" w:sz="7" w:space="0" w:color="000000"/>
            </w:tcBorders>
          </w:tcPr>
          <w:p w14:paraId="2F9C6099" w14:textId="77777777" w:rsidR="006E2DFB" w:rsidRPr="00862FE5" w:rsidRDefault="00AA110B" w:rsidP="004F7B3F">
            <w:pPr>
              <w:spacing w:after="0" w:line="259" w:lineRule="auto"/>
              <w:ind w:left="23" w:right="0" w:firstLine="0"/>
              <w:jc w:val="center"/>
              <w:rPr>
                <w:rFonts w:ascii="Lato" w:hAnsi="Lato" w:cs="Arial"/>
                <w:color w:val="auto"/>
                <w:sz w:val="20"/>
                <w:szCs w:val="20"/>
              </w:rPr>
            </w:pPr>
            <w:r w:rsidRPr="00862FE5">
              <w:rPr>
                <w:rFonts w:ascii="Lato" w:hAnsi="Lato" w:cs="Arial"/>
                <w:color w:val="auto"/>
                <w:sz w:val="20"/>
                <w:szCs w:val="20"/>
              </w:rPr>
              <w:t>1,70</w:t>
            </w:r>
          </w:p>
        </w:tc>
      </w:tr>
    </w:tbl>
    <w:p w14:paraId="3953C2AB"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Malowanie opasek i wyłogów ościeży oblicza się odrębnie w metrach kwadratowych powierzchni w rozwinięciu. Powierzchnię dwustronnie malowanych elementów ażurowych (siatek, krat, balustrad itd.) oblicza się w metrach kwadratowych według jednostronnej powierzchni ich rzutu.</w:t>
      </w:r>
    </w:p>
    <w:p w14:paraId="5D5FEFEA"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Malowanie obustronne żeber grzejników radiatorowych obmierza się jako podwójną powierzchnię prostokąta, opisanego na grzejniku (z wyjątkiem grzejników typu S-130 i T-1, dla których należy przyjmować potrójną powierzchnię opisanego prostokąta).</w:t>
      </w:r>
    </w:p>
    <w:p w14:paraId="4483BD06" w14:textId="18ABF0DD" w:rsidR="006E2DFB" w:rsidRPr="00862FE5" w:rsidRDefault="00AA110B" w:rsidP="004F7B3F">
      <w:pPr>
        <w:spacing w:after="0"/>
        <w:ind w:left="-15" w:right="0" w:firstLine="286"/>
        <w:rPr>
          <w:rFonts w:ascii="Lato" w:eastAsia="Courier New" w:hAnsi="Lato" w:cs="Arial"/>
          <w:color w:val="auto"/>
          <w:sz w:val="20"/>
          <w:szCs w:val="20"/>
        </w:rPr>
      </w:pPr>
      <w:r w:rsidRPr="00862FE5">
        <w:rPr>
          <w:rFonts w:ascii="Lato" w:hAnsi="Lato" w:cs="Arial"/>
          <w:color w:val="auto"/>
          <w:sz w:val="20"/>
          <w:szCs w:val="20"/>
        </w:rPr>
        <w:t>Malowanie rur o średnicy zewnętrznej do 30 cm obmierza się w metrach długości. Malowanie rur o większych średnicach zewnętrznych oblicza się w metrach kwadratowych ich powierzchni w rozwinięciu.</w:t>
      </w:r>
      <w:r w:rsidRPr="00862FE5">
        <w:rPr>
          <w:rFonts w:ascii="Lato" w:eastAsia="Courier New" w:hAnsi="Lato" w:cs="Arial"/>
          <w:color w:val="auto"/>
          <w:sz w:val="20"/>
          <w:szCs w:val="20"/>
        </w:rPr>
        <w:t xml:space="preserve"> </w:t>
      </w:r>
    </w:p>
    <w:p w14:paraId="17440FA0" w14:textId="77777777" w:rsidR="00DE22B8" w:rsidRPr="00862FE5" w:rsidRDefault="00DE22B8" w:rsidP="004F7B3F">
      <w:pPr>
        <w:spacing w:after="0"/>
        <w:ind w:left="-15" w:right="0" w:firstLine="286"/>
        <w:rPr>
          <w:rFonts w:ascii="Lato" w:hAnsi="Lato" w:cs="Arial"/>
          <w:color w:val="auto"/>
          <w:sz w:val="20"/>
          <w:szCs w:val="20"/>
        </w:rPr>
      </w:pPr>
    </w:p>
    <w:p w14:paraId="0CF760EE" w14:textId="009CC882" w:rsidR="006E2DFB" w:rsidRPr="00862FE5" w:rsidRDefault="00AA110B" w:rsidP="004F7B3F">
      <w:pPr>
        <w:numPr>
          <w:ilvl w:val="0"/>
          <w:numId w:val="28"/>
        </w:numPr>
        <w:spacing w:after="0" w:line="248" w:lineRule="auto"/>
        <w:ind w:right="0" w:hanging="360"/>
        <w:jc w:val="left"/>
        <w:rPr>
          <w:rFonts w:ascii="Lato" w:hAnsi="Lato" w:cs="Arial"/>
          <w:b/>
          <w:bCs/>
          <w:color w:val="auto"/>
          <w:sz w:val="20"/>
          <w:szCs w:val="20"/>
        </w:rPr>
      </w:pPr>
      <w:r w:rsidRPr="00862FE5">
        <w:rPr>
          <w:rFonts w:ascii="Lato" w:hAnsi="Lato" w:cs="Arial"/>
          <w:b/>
          <w:bCs/>
          <w:color w:val="auto"/>
          <w:sz w:val="20"/>
          <w:szCs w:val="20"/>
        </w:rPr>
        <w:t>SPOSÓB ODBIORU ROBÓT</w:t>
      </w:r>
    </w:p>
    <w:p w14:paraId="19C4DEDF" w14:textId="77777777" w:rsidR="00DE22B8" w:rsidRPr="00862FE5" w:rsidRDefault="00DE22B8" w:rsidP="00DE22B8">
      <w:pPr>
        <w:spacing w:after="0" w:line="248" w:lineRule="auto"/>
        <w:ind w:left="360" w:right="0" w:firstLine="0"/>
        <w:jc w:val="left"/>
        <w:rPr>
          <w:rFonts w:ascii="Lato" w:hAnsi="Lato" w:cs="Arial"/>
          <w:b/>
          <w:bCs/>
          <w:color w:val="auto"/>
          <w:sz w:val="20"/>
          <w:szCs w:val="20"/>
        </w:rPr>
      </w:pPr>
    </w:p>
    <w:p w14:paraId="094E4476" w14:textId="77777777" w:rsidR="006E2DFB" w:rsidRPr="00862FE5" w:rsidRDefault="00AA110B" w:rsidP="004F7B3F">
      <w:pPr>
        <w:numPr>
          <w:ilvl w:val="1"/>
          <w:numId w:val="28"/>
        </w:numPr>
        <w:spacing w:after="0" w:line="248" w:lineRule="auto"/>
        <w:ind w:right="0" w:hanging="571"/>
        <w:jc w:val="left"/>
        <w:rPr>
          <w:rFonts w:ascii="Lato" w:hAnsi="Lato" w:cs="Arial"/>
          <w:color w:val="auto"/>
          <w:sz w:val="20"/>
          <w:szCs w:val="20"/>
        </w:rPr>
      </w:pPr>
      <w:r w:rsidRPr="00862FE5">
        <w:rPr>
          <w:rFonts w:ascii="Lato" w:hAnsi="Lato" w:cs="Arial"/>
          <w:color w:val="auto"/>
          <w:sz w:val="20"/>
          <w:szCs w:val="20"/>
        </w:rPr>
        <w:t>Ogólne zasady odbioru robót podano w ST „Wymagania ogólne” Kod CPV</w:t>
      </w:r>
    </w:p>
    <w:p w14:paraId="1AA5069C" w14:textId="30A6DAF8" w:rsidR="006E2DFB" w:rsidRPr="00862FE5" w:rsidRDefault="00AA110B" w:rsidP="004F7B3F">
      <w:pPr>
        <w:spacing w:after="0" w:line="248" w:lineRule="auto"/>
        <w:ind w:left="581" w:right="0"/>
        <w:jc w:val="left"/>
        <w:rPr>
          <w:rFonts w:ascii="Lato" w:hAnsi="Lato" w:cs="Arial"/>
          <w:color w:val="auto"/>
          <w:sz w:val="20"/>
          <w:szCs w:val="20"/>
        </w:rPr>
      </w:pPr>
      <w:r w:rsidRPr="00862FE5">
        <w:rPr>
          <w:rFonts w:ascii="Lato" w:hAnsi="Lato" w:cs="Arial"/>
          <w:color w:val="auto"/>
          <w:sz w:val="20"/>
          <w:szCs w:val="20"/>
        </w:rPr>
        <w:t>45000000-7, pkt 8</w:t>
      </w:r>
    </w:p>
    <w:p w14:paraId="0C2B25CA" w14:textId="77777777" w:rsidR="00DE22B8" w:rsidRPr="00862FE5" w:rsidRDefault="00DE22B8" w:rsidP="004F7B3F">
      <w:pPr>
        <w:spacing w:after="0" w:line="248" w:lineRule="auto"/>
        <w:ind w:left="581" w:right="0"/>
        <w:jc w:val="left"/>
        <w:rPr>
          <w:rFonts w:ascii="Lato" w:hAnsi="Lato" w:cs="Arial"/>
          <w:color w:val="auto"/>
          <w:sz w:val="20"/>
          <w:szCs w:val="20"/>
        </w:rPr>
      </w:pPr>
    </w:p>
    <w:p w14:paraId="47FB5ACD" w14:textId="77777777" w:rsidR="006E2DFB" w:rsidRPr="00862FE5" w:rsidRDefault="00AA110B" w:rsidP="004F7B3F">
      <w:pPr>
        <w:numPr>
          <w:ilvl w:val="1"/>
          <w:numId w:val="28"/>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Odbiór robót zanikających i ulegających zakryciu</w:t>
      </w:r>
    </w:p>
    <w:p w14:paraId="10D732EE"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xml:space="preserve">Przy robotach związanych z wykonywaniem powłok malarskich elementem ulegającym zakryciu są podłoża. Odbiór podłoży musi być dokonany przed rozpoczęciem robót malarskich. </w:t>
      </w:r>
    </w:p>
    <w:p w14:paraId="2AC9A0BD"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 trakcie odbioru należy przeprowadzić badania wymienione w pkt. 6.2.1. niniejszej specyfikacji. Wyniki badań należy porównać z wymaganiami dotyczącymi podłoży pod malowanie, określonymi w pkt. 5.3. niniejszej specyfikacji.</w:t>
      </w:r>
    </w:p>
    <w:p w14:paraId="1428490E"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Jeżeli wszystkie pomiary i badania dały wynik pozytywny można uznać podłoża za wykonane prawidłowo, tj. zgodnie z dokumentacją projektową oraz SST i zezwolić na przystąpienie do robót malarskich.</w:t>
      </w:r>
    </w:p>
    <w:p w14:paraId="6887621E"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 xml:space="preserve">Jeżeli chociaż jeden wynik badania jest negatywny podłoże nie powinno być odebrane. W takim przypadku należy ustalić zakres prac i rodzaje materiałów koniecznych do usunięcia nieprawidłowości podłoża. Po wykonaniu ustalonego zakresu prac należy ponownie przeprowadzić badanie nieodebranego podłoża. </w:t>
      </w:r>
    </w:p>
    <w:p w14:paraId="2CCC1668" w14:textId="6E556F5D"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Wszystkie ustalenia związane z dokonanym odbiorem robót ulegających zakryciu (podłoży) oraz materiałów należy zapisać w dzienniku budowy lub protokole podpisanym przez przedstawicieli inwestora (inspektor nadzoru) i wykonawcy (kierownik budowy).</w:t>
      </w:r>
    </w:p>
    <w:p w14:paraId="5E9E3516" w14:textId="77777777" w:rsidR="00DE22B8" w:rsidRPr="00862FE5" w:rsidRDefault="00DE22B8" w:rsidP="004F7B3F">
      <w:pPr>
        <w:spacing w:after="0"/>
        <w:ind w:left="-15" w:right="0" w:firstLine="286"/>
        <w:rPr>
          <w:rFonts w:ascii="Lato" w:hAnsi="Lato" w:cs="Arial"/>
          <w:color w:val="auto"/>
          <w:sz w:val="20"/>
          <w:szCs w:val="20"/>
        </w:rPr>
      </w:pPr>
    </w:p>
    <w:p w14:paraId="2C8450C6" w14:textId="77777777" w:rsidR="006E2DFB" w:rsidRPr="00862FE5" w:rsidRDefault="00AA110B" w:rsidP="004F7B3F">
      <w:pPr>
        <w:numPr>
          <w:ilvl w:val="1"/>
          <w:numId w:val="28"/>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Odbiór częściowy</w:t>
      </w:r>
    </w:p>
    <w:p w14:paraId="6B1B9039"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xml:space="preserve">Odbiór częściowy polega na ocenie ilości i jakości wykonanej części robót. Odbioru częściowego robót dokonuje się dla zakresu określonego w dokumentach umownych, według zasad jak przy odbiorze ostatecznym robót (pkt 8.4.). </w:t>
      </w:r>
    </w:p>
    <w:p w14:paraId="1B78C1D0"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Celem odbioru częściowego jest wczesne wykrycie ewentualnych usterek w realizowanych robotach i ich usunięcie przed odbiorem końcowym.</w:t>
      </w:r>
    </w:p>
    <w:p w14:paraId="02AFF9A5"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Odbiór częściowy robót jest dokonywany przez inspektora nadzoru w obecności kierownika budowy.</w:t>
      </w:r>
    </w:p>
    <w:p w14:paraId="3408E172" w14:textId="76677D9B"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Protokół odbioru częściowego jest podstawą do dokonania częściowego rozliczenia robót jeżeli umowa taką formę przewiduje.</w:t>
      </w:r>
    </w:p>
    <w:p w14:paraId="7B4AA3BB" w14:textId="77777777" w:rsidR="00DE22B8" w:rsidRPr="00862FE5" w:rsidRDefault="00DE22B8" w:rsidP="004F7B3F">
      <w:pPr>
        <w:spacing w:after="0"/>
        <w:ind w:left="-15" w:right="0" w:firstLine="286"/>
        <w:rPr>
          <w:rFonts w:ascii="Lato" w:hAnsi="Lato" w:cs="Arial"/>
          <w:color w:val="auto"/>
          <w:sz w:val="20"/>
          <w:szCs w:val="20"/>
        </w:rPr>
      </w:pPr>
    </w:p>
    <w:p w14:paraId="53BD963A" w14:textId="77777777" w:rsidR="006E2DFB" w:rsidRPr="00862FE5" w:rsidRDefault="00AA110B" w:rsidP="004F7B3F">
      <w:pPr>
        <w:numPr>
          <w:ilvl w:val="1"/>
          <w:numId w:val="28"/>
        </w:numPr>
        <w:spacing w:after="0" w:line="248" w:lineRule="auto"/>
        <w:ind w:right="0" w:hanging="571"/>
        <w:jc w:val="left"/>
        <w:rPr>
          <w:rFonts w:ascii="Lato" w:hAnsi="Lato" w:cs="Arial"/>
          <w:b/>
          <w:bCs/>
          <w:color w:val="auto"/>
          <w:sz w:val="20"/>
          <w:szCs w:val="20"/>
        </w:rPr>
      </w:pPr>
      <w:r w:rsidRPr="00862FE5">
        <w:rPr>
          <w:rFonts w:ascii="Lato" w:hAnsi="Lato" w:cs="Arial"/>
          <w:b/>
          <w:bCs/>
          <w:color w:val="auto"/>
          <w:sz w:val="20"/>
          <w:szCs w:val="20"/>
        </w:rPr>
        <w:t>Odbiór ostateczny (końcowy)</w:t>
      </w:r>
    </w:p>
    <w:p w14:paraId="2B390850" w14:textId="77777777" w:rsidR="006E2DFB" w:rsidRPr="00862FE5" w:rsidRDefault="00AA110B" w:rsidP="00DE22B8">
      <w:pPr>
        <w:numPr>
          <w:ilvl w:val="2"/>
          <w:numId w:val="28"/>
        </w:numPr>
        <w:spacing w:after="0" w:line="248" w:lineRule="auto"/>
        <w:ind w:left="567" w:right="0" w:hanging="567"/>
        <w:jc w:val="left"/>
        <w:rPr>
          <w:rFonts w:ascii="Lato" w:hAnsi="Lato" w:cs="Arial"/>
          <w:color w:val="auto"/>
          <w:sz w:val="20"/>
          <w:szCs w:val="20"/>
        </w:rPr>
      </w:pPr>
      <w:r w:rsidRPr="00862FE5">
        <w:rPr>
          <w:rFonts w:ascii="Lato" w:hAnsi="Lato" w:cs="Arial"/>
          <w:color w:val="auto"/>
          <w:sz w:val="20"/>
          <w:szCs w:val="20"/>
        </w:rPr>
        <w:t>Zasady przeprowadzania odbioru końcowego</w:t>
      </w:r>
    </w:p>
    <w:p w14:paraId="4600A55A"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Odbiór końcowy stanowi ostateczną ocenę rzeczywistego wykonania robót w odniesieniu do ich zakresu (ilości), jakości i zgodności z dokumentacją projektową oraz niniejszą specyfikację techniczną.</w:t>
      </w:r>
    </w:p>
    <w:p w14:paraId="21D441B1"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Odbiór ostateczny przeprowadza komisja powołana przez zamawiającego, na podstawie przedłożonych dokumentów, wyników badań oraz dokonanej oceny wizualnej.</w:t>
      </w:r>
    </w:p>
    <w:p w14:paraId="66E8EE87" w14:textId="77777777" w:rsidR="006E2DFB" w:rsidRPr="00862FE5" w:rsidRDefault="00AA110B" w:rsidP="004F7B3F">
      <w:pPr>
        <w:spacing w:after="0"/>
        <w:ind w:left="296" w:right="0"/>
        <w:rPr>
          <w:rFonts w:ascii="Lato" w:hAnsi="Lato" w:cs="Arial"/>
          <w:color w:val="auto"/>
          <w:sz w:val="20"/>
          <w:szCs w:val="20"/>
        </w:rPr>
      </w:pPr>
      <w:r w:rsidRPr="00862FE5">
        <w:rPr>
          <w:rFonts w:ascii="Lato" w:hAnsi="Lato" w:cs="Arial"/>
          <w:color w:val="auto"/>
          <w:sz w:val="20"/>
          <w:szCs w:val="20"/>
        </w:rPr>
        <w:t>Zasady i terminy powoływania komisji oraz czas jej działania powinna określać umowa.</w:t>
      </w:r>
    </w:p>
    <w:p w14:paraId="111398F9" w14:textId="77777777" w:rsidR="006E2DFB" w:rsidRPr="00862FE5" w:rsidRDefault="00AA110B" w:rsidP="00DE22B8">
      <w:pPr>
        <w:numPr>
          <w:ilvl w:val="2"/>
          <w:numId w:val="28"/>
        </w:numPr>
        <w:spacing w:after="0" w:line="248" w:lineRule="auto"/>
        <w:ind w:left="567" w:right="0" w:hanging="567"/>
        <w:jc w:val="left"/>
        <w:rPr>
          <w:rFonts w:ascii="Lato" w:hAnsi="Lato" w:cs="Arial"/>
          <w:color w:val="auto"/>
          <w:sz w:val="20"/>
          <w:szCs w:val="20"/>
        </w:rPr>
      </w:pPr>
      <w:r w:rsidRPr="00862FE5">
        <w:rPr>
          <w:rFonts w:ascii="Lato" w:hAnsi="Lato" w:cs="Arial"/>
          <w:color w:val="auto"/>
          <w:sz w:val="20"/>
          <w:szCs w:val="20"/>
        </w:rPr>
        <w:t xml:space="preserve">Dokumenty do odbioru końcowego </w:t>
      </w:r>
    </w:p>
    <w:p w14:paraId="37E03976"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Wykonawca robót obowiązany jest przedłożyć komisji następujące dokumenty:</w:t>
      </w:r>
    </w:p>
    <w:p w14:paraId="300935C4"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dokumentację projektową z naniesionymi zmianami dokonanymi w toku wykonywania robót,</w:t>
      </w:r>
    </w:p>
    <w:p w14:paraId="6C606822" w14:textId="77777777" w:rsidR="006E2DFB" w:rsidRPr="00862FE5" w:rsidRDefault="00AA110B" w:rsidP="004F7B3F">
      <w:pPr>
        <w:spacing w:after="0"/>
        <w:ind w:left="271" w:right="0" w:hanging="286"/>
        <w:rPr>
          <w:rFonts w:ascii="Lato" w:hAnsi="Lato" w:cs="Arial"/>
          <w:color w:val="auto"/>
          <w:sz w:val="20"/>
          <w:szCs w:val="20"/>
        </w:rPr>
      </w:pPr>
      <w:r w:rsidRPr="00862FE5">
        <w:rPr>
          <w:rFonts w:ascii="Lato" w:hAnsi="Lato" w:cs="Arial"/>
          <w:color w:val="auto"/>
          <w:sz w:val="20"/>
          <w:szCs w:val="20"/>
        </w:rPr>
        <w:t>− Szczegółowe Specyfikacje Techniczne ze zmianami wprowadzonymi w trakcie wykonywania robót,</w:t>
      </w:r>
    </w:p>
    <w:p w14:paraId="4987C894"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lastRenderedPageBreak/>
        <w:t>− dziennik budowy i książki obmiarów z zapisami dokonywanymi w toku prowadzonych robót,</w:t>
      </w:r>
    </w:p>
    <w:p w14:paraId="7926A2B7" w14:textId="77777777" w:rsidR="006E2DFB" w:rsidRPr="00862FE5" w:rsidRDefault="00AA110B" w:rsidP="004F7B3F">
      <w:pPr>
        <w:spacing w:after="0"/>
        <w:ind w:left="271" w:right="0" w:hanging="286"/>
        <w:rPr>
          <w:rFonts w:ascii="Lato" w:hAnsi="Lato" w:cs="Arial"/>
          <w:color w:val="auto"/>
          <w:sz w:val="20"/>
          <w:szCs w:val="20"/>
        </w:rPr>
      </w:pPr>
      <w:r w:rsidRPr="00862FE5">
        <w:rPr>
          <w:rFonts w:ascii="Lato" w:hAnsi="Lato" w:cs="Arial"/>
          <w:color w:val="auto"/>
          <w:sz w:val="20"/>
          <w:szCs w:val="20"/>
        </w:rPr>
        <w:t>− dokumenty świadczące o dopuszczeniu do obrotu i powszechnego zastosowania użytych materiałów i wyrobów budowlanych,</w:t>
      </w:r>
    </w:p>
    <w:p w14:paraId="5A3D3539"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protokoły odbioru podłoży,</w:t>
      </w:r>
    </w:p>
    <w:p w14:paraId="792FB787"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protokoły odbiorów częściowych,</w:t>
      </w:r>
    </w:p>
    <w:p w14:paraId="36A09E7E" w14:textId="77777777" w:rsidR="006E2DFB" w:rsidRPr="00862FE5" w:rsidRDefault="00AA110B" w:rsidP="004F7B3F">
      <w:pPr>
        <w:spacing w:after="0"/>
        <w:ind w:left="-5" w:right="2942"/>
        <w:rPr>
          <w:rFonts w:ascii="Lato" w:hAnsi="Lato" w:cs="Arial"/>
          <w:color w:val="auto"/>
          <w:sz w:val="20"/>
          <w:szCs w:val="20"/>
        </w:rPr>
      </w:pPr>
      <w:r w:rsidRPr="00862FE5">
        <w:rPr>
          <w:rFonts w:ascii="Lato" w:hAnsi="Lato" w:cs="Arial"/>
          <w:color w:val="auto"/>
          <w:sz w:val="20"/>
          <w:szCs w:val="20"/>
        </w:rPr>
        <w:t>− instrukcje producentów dotyczące zastosowanych materiałów, − wyniki badań laboratoryjnych i ekspertyz.</w:t>
      </w:r>
    </w:p>
    <w:p w14:paraId="4AED29B4"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W toku odbioru komisja obowiązana jest zapoznać się z przedłożonymi dokumentami, przeprowadzić badania zgodnie z wytycznymi podanymi w pkt. 6.4. niniejszej ST, porównać je z wymaganiami podanymi w dokumentacji projektowej i pkt. 5.5. niniejszej specyfikacji technicznej oraz dokonać oceny wizualnej.</w:t>
      </w:r>
    </w:p>
    <w:p w14:paraId="0765C7BE"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Roboty malarskie powinny być odebrane, jeżeli wszystkie wyniki badań są pozytywne, a dostarczone przez wykonawcę dokumenty są kompletne i prawidłowe pod względem merytorycznym.</w:t>
      </w:r>
    </w:p>
    <w:p w14:paraId="66AC8655"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Jeżeli chociażby jeden wynik badań był negatywny powłoka malarska nie powinna być przyjęta. W takim przypadku należy przyjąć jedno z następujących rozwiązań:</w:t>
      </w:r>
    </w:p>
    <w:p w14:paraId="03AA6192" w14:textId="77777777" w:rsidR="006E2DFB" w:rsidRPr="00862FE5" w:rsidRDefault="00AA110B" w:rsidP="004F7B3F">
      <w:pPr>
        <w:spacing w:after="0"/>
        <w:ind w:left="271" w:right="0" w:hanging="286"/>
        <w:rPr>
          <w:rFonts w:ascii="Lato" w:hAnsi="Lato" w:cs="Arial"/>
          <w:color w:val="auto"/>
          <w:sz w:val="20"/>
          <w:szCs w:val="20"/>
        </w:rPr>
      </w:pPr>
      <w:r w:rsidRPr="00862FE5">
        <w:rPr>
          <w:rFonts w:ascii="Lato" w:hAnsi="Lato" w:cs="Arial"/>
          <w:color w:val="auto"/>
          <w:sz w:val="20"/>
          <w:szCs w:val="20"/>
        </w:rPr>
        <w:t>− jeżeli to możliwe należy ustalić zakres prac korygujących, usunąć niezgodności powłoki z wymaganiami określonymi w dokumentacji projektowej i pkt. 5.5. niniejszej specyfikacji technicznej oraz przedstawić powłokę ponownie do odbioru,</w:t>
      </w:r>
    </w:p>
    <w:p w14:paraId="3A6DC6BA" w14:textId="77777777" w:rsidR="006E2DFB" w:rsidRPr="00862FE5" w:rsidRDefault="00AA110B" w:rsidP="004F7B3F">
      <w:pPr>
        <w:spacing w:after="0"/>
        <w:ind w:left="271" w:right="0" w:hanging="286"/>
        <w:rPr>
          <w:rFonts w:ascii="Lato" w:hAnsi="Lato" w:cs="Arial"/>
          <w:color w:val="auto"/>
          <w:sz w:val="20"/>
          <w:szCs w:val="20"/>
        </w:rPr>
      </w:pPr>
      <w:r w:rsidRPr="00862FE5">
        <w:rPr>
          <w:rFonts w:ascii="Lato" w:hAnsi="Lato" w:cs="Arial"/>
          <w:color w:val="auto"/>
          <w:sz w:val="20"/>
          <w:szCs w:val="20"/>
        </w:rPr>
        <w:t>− jeżeli odchylenia od wymagań nie zagrażają bezpieczeństwu użytkownika i nie ograniczają trwałości powłoki malarskiej zamawiający może wyrazić zgodę na dokonanie odbioru końcowego z jednoczesnym obniżeniem wartości wynagrodzenia w stosunku do ustaleń umownych,</w:t>
      </w:r>
    </w:p>
    <w:p w14:paraId="206D9940" w14:textId="77777777" w:rsidR="006E2DFB" w:rsidRPr="00862FE5" w:rsidRDefault="00AA110B" w:rsidP="004F7B3F">
      <w:pPr>
        <w:spacing w:after="0"/>
        <w:ind w:left="271" w:right="0" w:hanging="286"/>
        <w:rPr>
          <w:rFonts w:ascii="Lato" w:hAnsi="Lato" w:cs="Arial"/>
          <w:color w:val="auto"/>
          <w:sz w:val="20"/>
          <w:szCs w:val="20"/>
        </w:rPr>
      </w:pPr>
      <w:r w:rsidRPr="00862FE5">
        <w:rPr>
          <w:rFonts w:ascii="Lato" w:hAnsi="Lato" w:cs="Arial"/>
          <w:color w:val="auto"/>
          <w:sz w:val="20"/>
          <w:szCs w:val="20"/>
        </w:rPr>
        <w:t>− w przypadku, gdy nie są możliwe podane wyżej rozwiązania wykonawca zobowiązany jest do usunięcia wadliwie wykonanych robót malarskich, wykonania ich ponownie i powtórnego zgłoszenia do odbioru.</w:t>
      </w:r>
    </w:p>
    <w:p w14:paraId="279CF143" w14:textId="77777777" w:rsidR="006E2DFB" w:rsidRPr="00862FE5" w:rsidRDefault="00AA110B" w:rsidP="004F7B3F">
      <w:pPr>
        <w:spacing w:after="0" w:line="259" w:lineRule="auto"/>
        <w:ind w:left="48" w:right="0"/>
        <w:jc w:val="center"/>
        <w:rPr>
          <w:rFonts w:ascii="Lato" w:hAnsi="Lato" w:cs="Arial"/>
          <w:color w:val="auto"/>
          <w:sz w:val="20"/>
          <w:szCs w:val="20"/>
        </w:rPr>
      </w:pPr>
      <w:r w:rsidRPr="00862FE5">
        <w:rPr>
          <w:rFonts w:ascii="Lato" w:hAnsi="Lato" w:cs="Arial"/>
          <w:color w:val="auto"/>
          <w:sz w:val="20"/>
          <w:szCs w:val="20"/>
        </w:rPr>
        <w:t>W przypadku niekompletności dokumentów odbiór może być dokonany po ich uzupełnieniu.</w:t>
      </w:r>
    </w:p>
    <w:p w14:paraId="4AE055FB"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Z czynności odbioru sporządza się protokół podpisany przez przedstawicieli zamawiającego i wykonawcy. Protokół powinien zawierać: − ustalenia podjęte w trakcie prac komisji,</w:t>
      </w:r>
    </w:p>
    <w:p w14:paraId="1B4F5255"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ocenę wyników badań,</w:t>
      </w:r>
    </w:p>
    <w:p w14:paraId="4D1639AE"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wykaz wad i usterek ze wskazaniem sposobu ich usunięcia,</w:t>
      </w:r>
    </w:p>
    <w:p w14:paraId="68AFA7E4"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 stwierdzenie zgodności lub niezgodności wykonania robót malarskich z zamówieniem.</w:t>
      </w:r>
    </w:p>
    <w:p w14:paraId="35C8D44F" w14:textId="5E4C43F2"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Protokół odbioru końcowego jest podstawą do dokonania rozliczenia końcowego pomiędzy zamawiającym a wykonawcą.</w:t>
      </w:r>
    </w:p>
    <w:p w14:paraId="2ED780D1" w14:textId="77777777" w:rsidR="00DE22B8" w:rsidRPr="00862FE5" w:rsidRDefault="00DE22B8" w:rsidP="004F7B3F">
      <w:pPr>
        <w:spacing w:after="0"/>
        <w:ind w:left="-15" w:right="0" w:firstLine="286"/>
        <w:rPr>
          <w:rFonts w:ascii="Lato" w:hAnsi="Lato" w:cs="Arial"/>
          <w:b/>
          <w:bCs/>
          <w:color w:val="auto"/>
          <w:sz w:val="20"/>
          <w:szCs w:val="20"/>
        </w:rPr>
      </w:pPr>
    </w:p>
    <w:p w14:paraId="7485A58D" w14:textId="257F4640" w:rsidR="006E2DFB" w:rsidRPr="00862FE5" w:rsidRDefault="00AA110B" w:rsidP="00DE22B8">
      <w:pPr>
        <w:pStyle w:val="Akapitzlist"/>
        <w:numPr>
          <w:ilvl w:val="1"/>
          <w:numId w:val="28"/>
        </w:numPr>
        <w:tabs>
          <w:tab w:val="center" w:pos="2957"/>
        </w:tabs>
        <w:spacing w:after="0" w:line="248" w:lineRule="auto"/>
        <w:ind w:right="0" w:hanging="582"/>
        <w:jc w:val="left"/>
        <w:rPr>
          <w:rFonts w:ascii="Lato" w:hAnsi="Lato" w:cs="Arial"/>
          <w:b/>
          <w:bCs/>
          <w:color w:val="auto"/>
          <w:sz w:val="20"/>
          <w:szCs w:val="20"/>
        </w:rPr>
      </w:pPr>
      <w:r w:rsidRPr="00862FE5">
        <w:rPr>
          <w:rFonts w:ascii="Lato" w:hAnsi="Lato" w:cs="Arial"/>
          <w:b/>
          <w:bCs/>
          <w:color w:val="auto"/>
          <w:sz w:val="20"/>
          <w:szCs w:val="20"/>
        </w:rPr>
        <w:t>Odbiór po upływie okresu rękojmi i gwarancji</w:t>
      </w:r>
    </w:p>
    <w:p w14:paraId="462CFDAB"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Celem odbioru po okresie rękojmi i gwarancji jest ocena stanu powłok malarskich po użytkowaniu w tym okresie oraz ocena wykonywanych w tym okresie ewentualnych robót poprawkowych, związanych z usuwaniem zgłoszonych wad.</w:t>
      </w:r>
    </w:p>
    <w:p w14:paraId="470C753E"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Odbiór po upływie okresu rękojmi i gwarancji jest dokonywany na podstawie oceny wizualnej powłok malarskich, z uwzględnieniem zasad opisanych w pkt. 8.4. „Odbiór ostateczny (końcowy)”.</w:t>
      </w:r>
    </w:p>
    <w:p w14:paraId="43FAA97C" w14:textId="7777777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Pozytywny wynik odbioru pogwarancyjnego jest podstawą do zwrotu kaucji gwarancyjnej a negatywny do dokonania potrąceń wynikających z obniżonej jakości robót.</w:t>
      </w:r>
    </w:p>
    <w:p w14:paraId="0244CB59" w14:textId="1C75ACF7"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Przed upływem okresu gwarancyjnego zamawiający powinien zgłosić wykonawcy wszystkie zauważone wady w wykonanych robotach malarskich.</w:t>
      </w:r>
    </w:p>
    <w:p w14:paraId="69794DCE" w14:textId="77777777" w:rsidR="00DE22B8" w:rsidRPr="00862FE5" w:rsidRDefault="00DE22B8" w:rsidP="004F7B3F">
      <w:pPr>
        <w:spacing w:after="0"/>
        <w:ind w:left="-15" w:right="0" w:firstLine="286"/>
        <w:rPr>
          <w:rFonts w:ascii="Lato" w:hAnsi="Lato" w:cs="Arial"/>
          <w:color w:val="auto"/>
          <w:sz w:val="20"/>
          <w:szCs w:val="20"/>
        </w:rPr>
      </w:pPr>
    </w:p>
    <w:p w14:paraId="2439CBE2" w14:textId="217E8C7B" w:rsidR="006E2DFB" w:rsidRPr="00862FE5" w:rsidRDefault="00AA110B" w:rsidP="00DE22B8">
      <w:pPr>
        <w:pStyle w:val="Akapitzlist"/>
        <w:numPr>
          <w:ilvl w:val="0"/>
          <w:numId w:val="28"/>
        </w:numPr>
        <w:spacing w:after="0" w:line="248" w:lineRule="auto"/>
        <w:ind w:right="0" w:hanging="360"/>
        <w:jc w:val="left"/>
        <w:rPr>
          <w:rFonts w:ascii="Lato" w:hAnsi="Lato" w:cs="Arial"/>
          <w:b/>
          <w:bCs/>
          <w:color w:val="auto"/>
          <w:sz w:val="20"/>
          <w:szCs w:val="20"/>
        </w:rPr>
      </w:pPr>
      <w:r w:rsidRPr="00862FE5">
        <w:rPr>
          <w:rFonts w:ascii="Lato" w:hAnsi="Lato" w:cs="Arial"/>
          <w:b/>
          <w:bCs/>
          <w:color w:val="auto"/>
          <w:sz w:val="20"/>
          <w:szCs w:val="20"/>
        </w:rPr>
        <w:t>PODSTAWA ROZLICZENIA ROBÓT PODSTAWOWYCH, TYMCZASOWYCH I PRAC TOWARZYSZĄCYCH</w:t>
      </w:r>
    </w:p>
    <w:p w14:paraId="0EE0207B" w14:textId="77777777" w:rsidR="00DE22B8" w:rsidRPr="00862FE5" w:rsidRDefault="00DE22B8" w:rsidP="00DE22B8">
      <w:pPr>
        <w:pStyle w:val="Akapitzlist"/>
        <w:spacing w:after="0" w:line="248" w:lineRule="auto"/>
        <w:ind w:left="360" w:right="0" w:firstLine="0"/>
        <w:jc w:val="left"/>
        <w:rPr>
          <w:rFonts w:ascii="Lato" w:hAnsi="Lato" w:cs="Arial"/>
          <w:b/>
          <w:bCs/>
          <w:color w:val="auto"/>
          <w:sz w:val="20"/>
          <w:szCs w:val="20"/>
        </w:rPr>
      </w:pPr>
    </w:p>
    <w:p w14:paraId="584F5992" w14:textId="2F85261C" w:rsidR="006E2DFB" w:rsidRPr="00862FE5" w:rsidRDefault="00AA110B" w:rsidP="00DE22B8">
      <w:pPr>
        <w:pStyle w:val="Akapitzlist"/>
        <w:numPr>
          <w:ilvl w:val="1"/>
          <w:numId w:val="28"/>
        </w:numPr>
        <w:spacing w:after="0" w:line="248" w:lineRule="auto"/>
        <w:ind w:right="0" w:hanging="567"/>
        <w:jc w:val="left"/>
        <w:rPr>
          <w:rFonts w:ascii="Lato" w:hAnsi="Lato" w:cs="Arial"/>
          <w:color w:val="auto"/>
          <w:sz w:val="20"/>
          <w:szCs w:val="20"/>
        </w:rPr>
      </w:pPr>
      <w:r w:rsidRPr="00862FE5">
        <w:rPr>
          <w:rFonts w:ascii="Lato" w:hAnsi="Lato" w:cs="Arial"/>
          <w:color w:val="auto"/>
          <w:sz w:val="20"/>
          <w:szCs w:val="20"/>
        </w:rPr>
        <w:t>Ogólne ustalenia dotyczące podstawy płatności podano w ST „Wymagania ogólne” Kod CPV 45000000-7, pkt 9</w:t>
      </w:r>
    </w:p>
    <w:p w14:paraId="2213CE40" w14:textId="77777777" w:rsidR="00DE22B8" w:rsidRPr="00862FE5" w:rsidRDefault="00DE22B8" w:rsidP="00DE22B8">
      <w:pPr>
        <w:pStyle w:val="Akapitzlist"/>
        <w:spacing w:after="0" w:line="248" w:lineRule="auto"/>
        <w:ind w:left="1291" w:right="0" w:firstLine="0"/>
        <w:jc w:val="left"/>
        <w:rPr>
          <w:rFonts w:ascii="Lato" w:hAnsi="Lato" w:cs="Arial"/>
          <w:color w:val="auto"/>
          <w:sz w:val="20"/>
          <w:szCs w:val="20"/>
        </w:rPr>
      </w:pPr>
    </w:p>
    <w:p w14:paraId="772C16EB" w14:textId="40C0623A" w:rsidR="006E2DFB" w:rsidRPr="00862FE5" w:rsidRDefault="00AA110B" w:rsidP="00DE22B8">
      <w:pPr>
        <w:pStyle w:val="Akapitzlist"/>
        <w:numPr>
          <w:ilvl w:val="1"/>
          <w:numId w:val="28"/>
        </w:numPr>
        <w:spacing w:after="0" w:line="248" w:lineRule="auto"/>
        <w:ind w:right="0" w:hanging="567"/>
        <w:jc w:val="left"/>
        <w:rPr>
          <w:rFonts w:ascii="Lato" w:hAnsi="Lato" w:cs="Arial"/>
          <w:b/>
          <w:bCs/>
          <w:color w:val="auto"/>
          <w:sz w:val="20"/>
          <w:szCs w:val="20"/>
        </w:rPr>
      </w:pPr>
      <w:r w:rsidRPr="00862FE5">
        <w:rPr>
          <w:rFonts w:ascii="Lato" w:hAnsi="Lato" w:cs="Arial"/>
          <w:b/>
          <w:bCs/>
          <w:color w:val="auto"/>
          <w:sz w:val="20"/>
          <w:szCs w:val="20"/>
        </w:rPr>
        <w:t>Zasady rozliczenia i płatności</w:t>
      </w:r>
    </w:p>
    <w:p w14:paraId="71783040"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Rozliczenie robót malarskich może być dokonane jednorazowo po wykonaniu pełnego zakresu robót i ich końcowym odbiorze lub etapami określonymi w umowie, po dokonaniu odbiorów częściowych robót.</w:t>
      </w:r>
    </w:p>
    <w:p w14:paraId="2AE00342" w14:textId="28D62981" w:rsidR="006E2DFB" w:rsidRPr="00862FE5" w:rsidRDefault="00AA110B" w:rsidP="004F7B3F">
      <w:pPr>
        <w:spacing w:after="0"/>
        <w:ind w:left="-15" w:right="0" w:firstLine="286"/>
        <w:rPr>
          <w:rFonts w:ascii="Lato" w:hAnsi="Lato" w:cs="Arial"/>
          <w:color w:val="auto"/>
          <w:sz w:val="20"/>
          <w:szCs w:val="20"/>
        </w:rPr>
      </w:pPr>
      <w:r w:rsidRPr="00862FE5">
        <w:rPr>
          <w:rFonts w:ascii="Lato" w:hAnsi="Lato" w:cs="Arial"/>
          <w:color w:val="auto"/>
          <w:sz w:val="20"/>
          <w:szCs w:val="20"/>
        </w:rPr>
        <w:t xml:space="preserve">Ostateczne rozliczenie umowy pomiędzy zamawiającym a wykonawcą następuje po dokonaniu odbioru pogwarancyjnego. </w:t>
      </w:r>
    </w:p>
    <w:p w14:paraId="3B02F91A" w14:textId="77777777" w:rsidR="00BA538A" w:rsidRPr="00862FE5" w:rsidRDefault="00BA538A" w:rsidP="004F7B3F">
      <w:pPr>
        <w:spacing w:after="0"/>
        <w:ind w:left="-15" w:right="0" w:firstLine="286"/>
        <w:rPr>
          <w:rFonts w:ascii="Lato" w:hAnsi="Lato" w:cs="Arial"/>
          <w:color w:val="auto"/>
          <w:sz w:val="20"/>
          <w:szCs w:val="20"/>
        </w:rPr>
      </w:pPr>
    </w:p>
    <w:p w14:paraId="6EE9C621" w14:textId="722EA38B" w:rsidR="006E2DFB" w:rsidRPr="00862FE5" w:rsidRDefault="00BA538A" w:rsidP="00BA538A">
      <w:pPr>
        <w:pStyle w:val="Akapitzlist"/>
        <w:numPr>
          <w:ilvl w:val="1"/>
          <w:numId w:val="28"/>
        </w:numPr>
        <w:tabs>
          <w:tab w:val="left" w:pos="1418"/>
        </w:tabs>
        <w:spacing w:after="0" w:line="248" w:lineRule="auto"/>
        <w:ind w:right="0" w:hanging="582"/>
        <w:jc w:val="left"/>
        <w:rPr>
          <w:rFonts w:ascii="Lato" w:hAnsi="Lato" w:cs="Arial"/>
          <w:b/>
          <w:bCs/>
          <w:color w:val="auto"/>
          <w:sz w:val="20"/>
          <w:szCs w:val="20"/>
        </w:rPr>
      </w:pPr>
      <w:r w:rsidRPr="00862FE5">
        <w:rPr>
          <w:rFonts w:ascii="Lato" w:hAnsi="Lato" w:cs="Arial"/>
          <w:b/>
          <w:bCs/>
          <w:color w:val="auto"/>
          <w:sz w:val="20"/>
          <w:szCs w:val="20"/>
        </w:rPr>
        <w:t xml:space="preserve"> </w:t>
      </w:r>
      <w:r w:rsidR="00AA110B" w:rsidRPr="00862FE5">
        <w:rPr>
          <w:rFonts w:ascii="Lato" w:hAnsi="Lato" w:cs="Arial"/>
          <w:b/>
          <w:bCs/>
          <w:color w:val="auto"/>
          <w:sz w:val="20"/>
          <w:szCs w:val="20"/>
        </w:rPr>
        <w:t>Podstawy rozliczenia oraz płatności wykonanego i odebranego zakresu robót malarskich</w:t>
      </w:r>
    </w:p>
    <w:p w14:paraId="1962C0F3" w14:textId="77777777" w:rsidR="006E2DFB" w:rsidRPr="00862FE5" w:rsidRDefault="00AA110B" w:rsidP="004F7B3F">
      <w:pPr>
        <w:spacing w:after="0" w:line="248" w:lineRule="auto"/>
        <w:ind w:left="-5" w:right="0"/>
        <w:jc w:val="left"/>
        <w:rPr>
          <w:rFonts w:ascii="Lato" w:hAnsi="Lato" w:cs="Arial"/>
          <w:color w:val="auto"/>
          <w:sz w:val="20"/>
          <w:szCs w:val="20"/>
        </w:rPr>
      </w:pPr>
      <w:r w:rsidRPr="00862FE5">
        <w:rPr>
          <w:rFonts w:ascii="Lato" w:hAnsi="Lato" w:cs="Arial"/>
          <w:color w:val="auto"/>
          <w:sz w:val="20"/>
          <w:szCs w:val="20"/>
        </w:rPr>
        <w:t>Podstawy rozliczenia robót malarskich stanowią określone w dokumentach umownych (ofercie) ceny jednostkowe i ilości robót zaakceptowane przez zamawiającego.</w:t>
      </w:r>
    </w:p>
    <w:p w14:paraId="7C90DF8C" w14:textId="77777777" w:rsidR="006E2DFB" w:rsidRPr="00862FE5" w:rsidRDefault="00AA110B" w:rsidP="004F7B3F">
      <w:pPr>
        <w:spacing w:after="0"/>
        <w:ind w:left="-5" w:right="0"/>
        <w:rPr>
          <w:rFonts w:ascii="Lato" w:hAnsi="Lato" w:cs="Arial"/>
          <w:color w:val="auto"/>
          <w:sz w:val="20"/>
          <w:szCs w:val="20"/>
        </w:rPr>
      </w:pPr>
      <w:r w:rsidRPr="00862FE5">
        <w:rPr>
          <w:rFonts w:ascii="Lato" w:hAnsi="Lato" w:cs="Arial"/>
          <w:color w:val="auto"/>
          <w:sz w:val="20"/>
          <w:szCs w:val="20"/>
        </w:rPr>
        <w:t>Ceny jednostkowe wykonania robót malarskich uwzględniają:</w:t>
      </w:r>
    </w:p>
    <w:p w14:paraId="5CDD03AE" w14:textId="77777777"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przygotowanie stanowiska roboczego,</w:t>
      </w:r>
    </w:p>
    <w:p w14:paraId="25E313F0" w14:textId="77777777"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dostarczenie do stanowiska roboczego materiałów, narzędzi i sprzętu,– obsługę sprzętu,</w:t>
      </w:r>
    </w:p>
    <w:p w14:paraId="13809CFB" w14:textId="4C0AACE6"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ustawienie i przestawienie drabin oraz lekkich rusztowań przestawnych umożliwiających</w:t>
      </w:r>
      <w:r w:rsidR="00BC0788" w:rsidRPr="00862FE5">
        <w:rPr>
          <w:rFonts w:ascii="Lato" w:hAnsi="Lato" w:cs="Arial"/>
          <w:color w:val="auto"/>
          <w:sz w:val="20"/>
          <w:szCs w:val="20"/>
        </w:rPr>
        <w:t xml:space="preserve"> </w:t>
      </w:r>
      <w:r w:rsidRPr="00862FE5">
        <w:rPr>
          <w:rFonts w:ascii="Lato" w:hAnsi="Lato" w:cs="Arial"/>
          <w:color w:val="auto"/>
          <w:sz w:val="20"/>
          <w:szCs w:val="20"/>
        </w:rPr>
        <w:t>wykonanie robót, na wysokości do 5,0 m</w:t>
      </w:r>
    </w:p>
    <w:p w14:paraId="481304E7" w14:textId="77777777"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lastRenderedPageBreak/>
        <w:t>zabezpieczenie podłóg i innych elementów, nie przeznaczonych do malowania, przedzanieczyszczeniem i uszkodzeniem w trakcie wykonywania robót malarskich,</w:t>
      </w:r>
    </w:p>
    <w:p w14:paraId="1CAFE2D8" w14:textId="77777777"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przygotowanie farb, szpachlówek, gruntów i innych materiałów,</w:t>
      </w:r>
    </w:p>
    <w:p w14:paraId="229E328A" w14:textId="09278449"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ocenę i przygotowanie podłoży, zgodnie z wymaganiami dokumentacji projektowej i</w:t>
      </w:r>
      <w:r w:rsidR="00BC0788" w:rsidRPr="00862FE5">
        <w:rPr>
          <w:rFonts w:ascii="Lato" w:hAnsi="Lato" w:cs="Arial"/>
          <w:color w:val="auto"/>
          <w:sz w:val="20"/>
          <w:szCs w:val="20"/>
        </w:rPr>
        <w:t xml:space="preserve"> </w:t>
      </w:r>
      <w:r w:rsidRPr="00862FE5">
        <w:rPr>
          <w:rFonts w:ascii="Lato" w:hAnsi="Lato" w:cs="Arial"/>
          <w:color w:val="auto"/>
          <w:sz w:val="20"/>
          <w:szCs w:val="20"/>
        </w:rPr>
        <w:t>szczegółowej specyfikacji technicznej,</w:t>
      </w:r>
    </w:p>
    <w:p w14:paraId="2A05A935" w14:textId="77777777"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próby kolorów,</w:t>
      </w:r>
    </w:p>
    <w:p w14:paraId="36391E43" w14:textId="5097DF3A"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demontaż przed robotami malarskimi i montaż po wykonaniu robót elementów, które</w:t>
      </w:r>
      <w:r w:rsidR="00BC0788" w:rsidRPr="00862FE5">
        <w:rPr>
          <w:rFonts w:ascii="Lato" w:hAnsi="Lato" w:cs="Arial"/>
          <w:color w:val="auto"/>
          <w:sz w:val="20"/>
          <w:szCs w:val="20"/>
        </w:rPr>
        <w:t xml:space="preserve"> </w:t>
      </w:r>
      <w:r w:rsidRPr="00862FE5">
        <w:rPr>
          <w:rFonts w:ascii="Lato" w:hAnsi="Lato" w:cs="Arial"/>
          <w:color w:val="auto"/>
          <w:sz w:val="20"/>
          <w:szCs w:val="20"/>
        </w:rPr>
        <w:t>wymagają zdemontowania w celu wykonania prac malarskich np. skrzydeł okiennych i drzwiowych,</w:t>
      </w:r>
    </w:p>
    <w:p w14:paraId="484AB92C" w14:textId="77777777"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wykonanie prac malarskich,</w:t>
      </w:r>
    </w:p>
    <w:p w14:paraId="75AE95BD" w14:textId="77777777"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usunięcie wad i usterek oraz naprawienie uszkodzeń powstałych w czasie wykonywania robót,</w:t>
      </w:r>
    </w:p>
    <w:p w14:paraId="45B35BCF" w14:textId="6D5B8E95"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oczyszczenie miejsca pracy z materiałów zabezpieczających oraz oczyszczenie niepotrzebnie</w:t>
      </w:r>
      <w:r w:rsidR="00BC0788" w:rsidRPr="00862FE5">
        <w:rPr>
          <w:rFonts w:ascii="Lato" w:hAnsi="Lato" w:cs="Arial"/>
          <w:color w:val="auto"/>
          <w:sz w:val="20"/>
          <w:szCs w:val="20"/>
        </w:rPr>
        <w:t xml:space="preserve"> </w:t>
      </w:r>
      <w:r w:rsidRPr="00862FE5">
        <w:rPr>
          <w:rFonts w:ascii="Lato" w:hAnsi="Lato" w:cs="Arial"/>
          <w:color w:val="auto"/>
          <w:sz w:val="20"/>
          <w:szCs w:val="20"/>
        </w:rPr>
        <w:t>zamalowanych elementów nie przeznaczonych do malowania,</w:t>
      </w:r>
    </w:p>
    <w:p w14:paraId="0CD600A0" w14:textId="77777777"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likwidację stanowiska roboczego,</w:t>
      </w:r>
    </w:p>
    <w:p w14:paraId="08E2A73C" w14:textId="77777777" w:rsidR="006E2DFB" w:rsidRPr="00862FE5" w:rsidRDefault="00AA110B" w:rsidP="004F7B3F">
      <w:pPr>
        <w:numPr>
          <w:ilvl w:val="0"/>
          <w:numId w:val="29"/>
        </w:numPr>
        <w:spacing w:after="0"/>
        <w:ind w:right="0" w:hanging="286"/>
        <w:rPr>
          <w:rFonts w:ascii="Lato" w:hAnsi="Lato" w:cs="Arial"/>
          <w:color w:val="auto"/>
          <w:sz w:val="20"/>
          <w:szCs w:val="20"/>
        </w:rPr>
      </w:pPr>
      <w:r w:rsidRPr="00862FE5">
        <w:rPr>
          <w:rFonts w:ascii="Lato" w:hAnsi="Lato" w:cs="Arial"/>
          <w:color w:val="auto"/>
          <w:sz w:val="20"/>
          <w:szCs w:val="20"/>
        </w:rPr>
        <w:t>utylizację opakowań i resztek materiałów zgodnie ze wskazaniami producentów,– koszty pośrednie, zysk kalkulacyjny i ryzyko.</w:t>
      </w:r>
    </w:p>
    <w:p w14:paraId="7A36699B" w14:textId="35744D5F" w:rsidR="006E2DFB" w:rsidRPr="00862FE5" w:rsidRDefault="00AA110B" w:rsidP="004F7B3F">
      <w:pPr>
        <w:spacing w:after="0"/>
        <w:ind w:left="-5" w:right="0"/>
        <w:rPr>
          <w:rFonts w:ascii="Lato" w:eastAsia="Courier New" w:hAnsi="Lato" w:cs="Arial"/>
          <w:color w:val="auto"/>
          <w:sz w:val="20"/>
          <w:szCs w:val="20"/>
        </w:rPr>
      </w:pPr>
      <w:r w:rsidRPr="00862FE5">
        <w:rPr>
          <w:rFonts w:ascii="Lato" w:hAnsi="Lato" w:cs="Arial"/>
          <w:color w:val="auto"/>
          <w:sz w:val="20"/>
          <w:szCs w:val="20"/>
        </w:rPr>
        <w:t>Ceny jednostkowe robót obejmują również koszty montażu, demontażu i pracy rusztowań niezbędnych do wykonania robót na wysokości powyżej 5 m od poziomu ich ustawienia oraz koszty pomostów i barier zabezpieczających. Ceny jednostkowe nie obejmują podatku VAT.</w:t>
      </w:r>
      <w:r w:rsidRPr="00862FE5">
        <w:rPr>
          <w:rFonts w:ascii="Lato" w:eastAsia="Courier New" w:hAnsi="Lato" w:cs="Arial"/>
          <w:color w:val="auto"/>
          <w:sz w:val="20"/>
          <w:szCs w:val="20"/>
        </w:rPr>
        <w:t xml:space="preserve"> </w:t>
      </w:r>
    </w:p>
    <w:p w14:paraId="49C90E14" w14:textId="77777777" w:rsidR="00BA538A" w:rsidRPr="00862FE5" w:rsidRDefault="00BA538A" w:rsidP="004F7B3F">
      <w:pPr>
        <w:spacing w:after="0"/>
        <w:ind w:left="-5" w:right="0"/>
        <w:rPr>
          <w:rFonts w:ascii="Lato" w:hAnsi="Lato" w:cs="Arial"/>
          <w:color w:val="auto"/>
          <w:sz w:val="20"/>
          <w:szCs w:val="20"/>
        </w:rPr>
      </w:pPr>
    </w:p>
    <w:tbl>
      <w:tblPr>
        <w:tblStyle w:val="TableGrid"/>
        <w:tblW w:w="8595" w:type="dxa"/>
        <w:tblInd w:w="0" w:type="dxa"/>
        <w:tblLook w:val="04A0" w:firstRow="1" w:lastRow="0" w:firstColumn="1" w:lastColumn="0" w:noHBand="0" w:noVBand="1"/>
      </w:tblPr>
      <w:tblGrid>
        <w:gridCol w:w="770"/>
        <w:gridCol w:w="2806"/>
        <w:gridCol w:w="5019"/>
      </w:tblGrid>
      <w:tr w:rsidR="00C12CF0" w:rsidRPr="00862FE5" w14:paraId="1D6B8D88" w14:textId="77777777" w:rsidTr="00BA538A">
        <w:trPr>
          <w:trHeight w:val="539"/>
        </w:trPr>
        <w:tc>
          <w:tcPr>
            <w:tcW w:w="3576" w:type="dxa"/>
            <w:gridSpan w:val="2"/>
            <w:tcBorders>
              <w:top w:val="nil"/>
              <w:left w:val="nil"/>
              <w:right w:val="nil"/>
            </w:tcBorders>
          </w:tcPr>
          <w:p w14:paraId="147E6416" w14:textId="77777777" w:rsidR="006E2DFB" w:rsidRPr="00862FE5" w:rsidRDefault="00AA110B">
            <w:pPr>
              <w:numPr>
                <w:ilvl w:val="0"/>
                <w:numId w:val="30"/>
              </w:numPr>
              <w:spacing w:after="0" w:line="259" w:lineRule="auto"/>
              <w:ind w:right="0" w:hanging="360"/>
              <w:jc w:val="left"/>
              <w:rPr>
                <w:rFonts w:ascii="Lato" w:hAnsi="Lato" w:cs="Arial"/>
                <w:b/>
                <w:bCs/>
                <w:color w:val="auto"/>
                <w:sz w:val="20"/>
                <w:szCs w:val="20"/>
              </w:rPr>
            </w:pPr>
            <w:r w:rsidRPr="00862FE5">
              <w:rPr>
                <w:rFonts w:ascii="Lato" w:hAnsi="Lato" w:cs="Arial"/>
                <w:b/>
                <w:bCs/>
                <w:color w:val="auto"/>
                <w:sz w:val="20"/>
                <w:szCs w:val="20"/>
              </w:rPr>
              <w:t>DOKUMENTY ODNIESIENIA</w:t>
            </w:r>
          </w:p>
          <w:p w14:paraId="4FD24E5F" w14:textId="77777777" w:rsidR="006E2DFB" w:rsidRPr="00862FE5" w:rsidRDefault="00AA110B">
            <w:pPr>
              <w:spacing w:after="0" w:line="259" w:lineRule="auto"/>
              <w:ind w:left="0" w:right="0" w:firstLine="0"/>
              <w:jc w:val="left"/>
              <w:rPr>
                <w:rFonts w:ascii="Lato" w:hAnsi="Lato" w:cs="Arial"/>
                <w:b/>
                <w:bCs/>
                <w:color w:val="auto"/>
                <w:sz w:val="20"/>
                <w:szCs w:val="20"/>
              </w:rPr>
            </w:pPr>
            <w:r w:rsidRPr="00862FE5">
              <w:rPr>
                <w:rFonts w:ascii="Lato" w:hAnsi="Lato" w:cs="Arial"/>
                <w:b/>
                <w:bCs/>
                <w:color w:val="auto"/>
                <w:sz w:val="20"/>
                <w:szCs w:val="20"/>
              </w:rPr>
              <w:t>10.1. Normy</w:t>
            </w:r>
          </w:p>
        </w:tc>
        <w:tc>
          <w:tcPr>
            <w:tcW w:w="5019" w:type="dxa"/>
            <w:tcBorders>
              <w:top w:val="nil"/>
              <w:left w:val="nil"/>
              <w:right w:val="nil"/>
            </w:tcBorders>
          </w:tcPr>
          <w:p w14:paraId="52157D0F" w14:textId="77777777" w:rsidR="006E2DFB" w:rsidRPr="00862FE5" w:rsidRDefault="006E2DFB">
            <w:pPr>
              <w:spacing w:after="160" w:line="259" w:lineRule="auto"/>
              <w:ind w:left="0" w:right="0" w:firstLine="0"/>
              <w:jc w:val="left"/>
              <w:rPr>
                <w:rFonts w:ascii="Lato" w:hAnsi="Lato"/>
                <w:color w:val="auto"/>
                <w:sz w:val="20"/>
                <w:szCs w:val="20"/>
              </w:rPr>
            </w:pPr>
          </w:p>
        </w:tc>
      </w:tr>
      <w:tr w:rsidR="00C12CF0" w:rsidRPr="00862FE5" w14:paraId="2703A477" w14:textId="77777777" w:rsidTr="00BA538A">
        <w:trPr>
          <w:trHeight w:val="190"/>
        </w:trPr>
        <w:tc>
          <w:tcPr>
            <w:tcW w:w="770" w:type="dxa"/>
          </w:tcPr>
          <w:p w14:paraId="42214F28"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1.</w:t>
            </w:r>
          </w:p>
        </w:tc>
        <w:tc>
          <w:tcPr>
            <w:tcW w:w="2805" w:type="dxa"/>
          </w:tcPr>
          <w:p w14:paraId="12E68694"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PN-B-10102:1991</w:t>
            </w:r>
          </w:p>
        </w:tc>
        <w:tc>
          <w:tcPr>
            <w:tcW w:w="5019" w:type="dxa"/>
          </w:tcPr>
          <w:p w14:paraId="7CD2541B"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Farby do elewacji budynków – Wymagania i badania.</w:t>
            </w:r>
          </w:p>
          <w:p w14:paraId="30C59576" w14:textId="527565E1" w:rsidR="00BA538A" w:rsidRPr="00862FE5" w:rsidRDefault="00BA538A">
            <w:pPr>
              <w:spacing w:after="0" w:line="259" w:lineRule="auto"/>
              <w:ind w:left="0" w:right="0" w:firstLine="0"/>
              <w:jc w:val="left"/>
              <w:rPr>
                <w:rFonts w:ascii="Lato" w:hAnsi="Lato" w:cs="Arial"/>
                <w:color w:val="auto"/>
                <w:sz w:val="20"/>
                <w:szCs w:val="20"/>
              </w:rPr>
            </w:pPr>
          </w:p>
        </w:tc>
      </w:tr>
      <w:tr w:rsidR="00C12CF0" w:rsidRPr="00862FE5" w14:paraId="2CBECAA4" w14:textId="77777777" w:rsidTr="00BA538A">
        <w:trPr>
          <w:trHeight w:val="350"/>
        </w:trPr>
        <w:tc>
          <w:tcPr>
            <w:tcW w:w="770" w:type="dxa"/>
          </w:tcPr>
          <w:p w14:paraId="51C91F7A"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2.</w:t>
            </w:r>
          </w:p>
        </w:tc>
        <w:tc>
          <w:tcPr>
            <w:tcW w:w="2805" w:type="dxa"/>
          </w:tcPr>
          <w:p w14:paraId="2BC978A4"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PN-EN ISO 2409:2008</w:t>
            </w:r>
          </w:p>
        </w:tc>
        <w:tc>
          <w:tcPr>
            <w:tcW w:w="5019" w:type="dxa"/>
          </w:tcPr>
          <w:p w14:paraId="6B2605F0"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Farby i lakiery – Badanie metodą siatki nacięć.</w:t>
            </w:r>
          </w:p>
        </w:tc>
      </w:tr>
      <w:tr w:rsidR="00C12CF0" w:rsidRPr="00862FE5" w14:paraId="535BB19C" w14:textId="77777777" w:rsidTr="00BA538A">
        <w:trPr>
          <w:trHeight w:val="845"/>
        </w:trPr>
        <w:tc>
          <w:tcPr>
            <w:tcW w:w="770" w:type="dxa"/>
          </w:tcPr>
          <w:p w14:paraId="2E70B232"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3.</w:t>
            </w:r>
          </w:p>
        </w:tc>
        <w:tc>
          <w:tcPr>
            <w:tcW w:w="2805" w:type="dxa"/>
          </w:tcPr>
          <w:p w14:paraId="3470FFFB"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PN-EN 13300:2002</w:t>
            </w:r>
          </w:p>
        </w:tc>
        <w:tc>
          <w:tcPr>
            <w:tcW w:w="5019" w:type="dxa"/>
          </w:tcPr>
          <w:p w14:paraId="6E191586" w14:textId="77777777" w:rsidR="006E2DFB" w:rsidRPr="00862FE5" w:rsidRDefault="00AA110B">
            <w:pPr>
              <w:spacing w:after="0" w:line="259" w:lineRule="auto"/>
              <w:ind w:left="0" w:right="0" w:firstLine="0"/>
              <w:rPr>
                <w:rFonts w:ascii="Lato" w:hAnsi="Lato" w:cs="Arial"/>
                <w:color w:val="auto"/>
                <w:sz w:val="20"/>
                <w:szCs w:val="20"/>
              </w:rPr>
            </w:pPr>
            <w:r w:rsidRPr="00862FE5">
              <w:rPr>
                <w:rFonts w:ascii="Lato" w:hAnsi="Lato" w:cs="Arial"/>
                <w:color w:val="auto"/>
                <w:sz w:val="20"/>
                <w:szCs w:val="20"/>
              </w:rPr>
              <w:t>Farby i lakiery – Wodne wyroby lakierowe i systemy powłokowe na wewnętrzne ściany i sufity – Klasyfikacja.</w:t>
            </w:r>
          </w:p>
        </w:tc>
      </w:tr>
      <w:tr w:rsidR="00C12CF0" w:rsidRPr="00862FE5" w14:paraId="7E702651" w14:textId="77777777" w:rsidTr="00BA538A">
        <w:trPr>
          <w:trHeight w:val="551"/>
        </w:trPr>
        <w:tc>
          <w:tcPr>
            <w:tcW w:w="770" w:type="dxa"/>
          </w:tcPr>
          <w:p w14:paraId="7FB9984B"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4.</w:t>
            </w:r>
          </w:p>
        </w:tc>
        <w:tc>
          <w:tcPr>
            <w:tcW w:w="2805" w:type="dxa"/>
          </w:tcPr>
          <w:p w14:paraId="0E14614C"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PN-C-81607:1998</w:t>
            </w:r>
          </w:p>
        </w:tc>
        <w:tc>
          <w:tcPr>
            <w:tcW w:w="5019" w:type="dxa"/>
          </w:tcPr>
          <w:p w14:paraId="3EE55163" w14:textId="77777777" w:rsidR="006E2DFB" w:rsidRPr="00862FE5" w:rsidRDefault="00AA110B">
            <w:pPr>
              <w:spacing w:after="0" w:line="259" w:lineRule="auto"/>
              <w:ind w:left="0" w:right="1" w:firstLine="0"/>
              <w:rPr>
                <w:rFonts w:ascii="Lato" w:hAnsi="Lato" w:cs="Arial"/>
                <w:color w:val="auto"/>
                <w:sz w:val="20"/>
                <w:szCs w:val="20"/>
              </w:rPr>
            </w:pPr>
            <w:r w:rsidRPr="00862FE5">
              <w:rPr>
                <w:rFonts w:ascii="Lato" w:hAnsi="Lato" w:cs="Arial"/>
                <w:color w:val="auto"/>
                <w:sz w:val="20"/>
                <w:szCs w:val="20"/>
              </w:rPr>
              <w:t>Emalie olejno-żywiczne, ftalowe, ftalowe modyfikowane i ftalowe kopolimeryzowane styrenowe.</w:t>
            </w:r>
          </w:p>
        </w:tc>
      </w:tr>
      <w:tr w:rsidR="00C12CF0" w:rsidRPr="00862FE5" w14:paraId="7E43F6A1" w14:textId="77777777" w:rsidTr="00BA538A">
        <w:trPr>
          <w:trHeight w:val="416"/>
        </w:trPr>
        <w:tc>
          <w:tcPr>
            <w:tcW w:w="770" w:type="dxa"/>
          </w:tcPr>
          <w:p w14:paraId="2F7AEC16"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5.</w:t>
            </w:r>
          </w:p>
        </w:tc>
        <w:tc>
          <w:tcPr>
            <w:tcW w:w="2805" w:type="dxa"/>
          </w:tcPr>
          <w:p w14:paraId="19BFC8CF"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PN-C-81800:1998</w:t>
            </w:r>
          </w:p>
        </w:tc>
        <w:tc>
          <w:tcPr>
            <w:tcW w:w="5019" w:type="dxa"/>
          </w:tcPr>
          <w:p w14:paraId="6D87653E" w14:textId="77777777" w:rsidR="006E2DFB" w:rsidRPr="00862FE5" w:rsidRDefault="00AA110B">
            <w:pPr>
              <w:spacing w:after="0" w:line="259" w:lineRule="auto"/>
              <w:ind w:left="0" w:right="0" w:firstLine="0"/>
              <w:rPr>
                <w:rFonts w:ascii="Lato" w:hAnsi="Lato" w:cs="Arial"/>
                <w:color w:val="auto"/>
                <w:sz w:val="20"/>
                <w:szCs w:val="20"/>
              </w:rPr>
            </w:pPr>
            <w:r w:rsidRPr="00862FE5">
              <w:rPr>
                <w:rFonts w:ascii="Lato" w:hAnsi="Lato" w:cs="Arial"/>
                <w:color w:val="auto"/>
                <w:sz w:val="20"/>
                <w:szCs w:val="20"/>
              </w:rPr>
              <w:t>Lakiery olejno-żywiczne, ftalowe modyfikowane i ftalowe kopolimeryzowane styrenowe.</w:t>
            </w:r>
          </w:p>
        </w:tc>
      </w:tr>
      <w:tr w:rsidR="00C12CF0" w:rsidRPr="00862FE5" w14:paraId="03362C8E" w14:textId="77777777" w:rsidTr="00BA538A">
        <w:trPr>
          <w:trHeight w:val="353"/>
        </w:trPr>
        <w:tc>
          <w:tcPr>
            <w:tcW w:w="770" w:type="dxa"/>
          </w:tcPr>
          <w:p w14:paraId="1059691D"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6.</w:t>
            </w:r>
          </w:p>
        </w:tc>
        <w:tc>
          <w:tcPr>
            <w:tcW w:w="2805" w:type="dxa"/>
          </w:tcPr>
          <w:p w14:paraId="5122434B"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PN-C-81801:1997</w:t>
            </w:r>
          </w:p>
        </w:tc>
        <w:tc>
          <w:tcPr>
            <w:tcW w:w="5019" w:type="dxa"/>
          </w:tcPr>
          <w:p w14:paraId="2A7C7235"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Lakiery nitrocelulozowe.</w:t>
            </w:r>
          </w:p>
        </w:tc>
      </w:tr>
      <w:tr w:rsidR="00C12CF0" w:rsidRPr="00862FE5" w14:paraId="0DC4DF87" w14:textId="77777777" w:rsidTr="00BA538A">
        <w:trPr>
          <w:trHeight w:val="353"/>
        </w:trPr>
        <w:tc>
          <w:tcPr>
            <w:tcW w:w="770" w:type="dxa"/>
          </w:tcPr>
          <w:p w14:paraId="5057FA22"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7.</w:t>
            </w:r>
          </w:p>
        </w:tc>
        <w:tc>
          <w:tcPr>
            <w:tcW w:w="2805" w:type="dxa"/>
          </w:tcPr>
          <w:p w14:paraId="5A23CD2F"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PN-C-81802:2002</w:t>
            </w:r>
          </w:p>
        </w:tc>
        <w:tc>
          <w:tcPr>
            <w:tcW w:w="5019" w:type="dxa"/>
          </w:tcPr>
          <w:p w14:paraId="2A8364F5"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Lakiery wodorozcieńczalne stosowane wewnątrz.</w:t>
            </w:r>
          </w:p>
        </w:tc>
      </w:tr>
      <w:tr w:rsidR="00C12CF0" w:rsidRPr="00862FE5" w14:paraId="068A4FD9" w14:textId="77777777" w:rsidTr="00BA538A">
        <w:trPr>
          <w:trHeight w:val="353"/>
        </w:trPr>
        <w:tc>
          <w:tcPr>
            <w:tcW w:w="770" w:type="dxa"/>
          </w:tcPr>
          <w:p w14:paraId="54BFED52"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8.</w:t>
            </w:r>
          </w:p>
        </w:tc>
        <w:tc>
          <w:tcPr>
            <w:tcW w:w="2805" w:type="dxa"/>
          </w:tcPr>
          <w:p w14:paraId="6200543B"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PN-C-81901:2002</w:t>
            </w:r>
          </w:p>
        </w:tc>
        <w:tc>
          <w:tcPr>
            <w:tcW w:w="5019" w:type="dxa"/>
          </w:tcPr>
          <w:p w14:paraId="41AC356C"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Farby olejne i alkidowe.</w:t>
            </w:r>
          </w:p>
        </w:tc>
      </w:tr>
      <w:tr w:rsidR="00C12CF0" w:rsidRPr="00862FE5" w14:paraId="2D494BA0" w14:textId="77777777" w:rsidTr="00BA538A">
        <w:trPr>
          <w:trHeight w:val="453"/>
        </w:trPr>
        <w:tc>
          <w:tcPr>
            <w:tcW w:w="770" w:type="dxa"/>
          </w:tcPr>
          <w:p w14:paraId="0325E29F"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9.</w:t>
            </w:r>
          </w:p>
        </w:tc>
        <w:tc>
          <w:tcPr>
            <w:tcW w:w="2805" w:type="dxa"/>
          </w:tcPr>
          <w:p w14:paraId="5F73965F"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PN-C-81913:1998</w:t>
            </w:r>
          </w:p>
        </w:tc>
        <w:tc>
          <w:tcPr>
            <w:tcW w:w="5019" w:type="dxa"/>
          </w:tcPr>
          <w:p w14:paraId="705CA595"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Farby</w:t>
            </w:r>
            <w:r w:rsidRPr="00862FE5">
              <w:rPr>
                <w:rFonts w:ascii="Lato" w:hAnsi="Lato" w:cs="Arial"/>
                <w:color w:val="auto"/>
                <w:sz w:val="20"/>
                <w:szCs w:val="20"/>
              </w:rPr>
              <w:tab/>
              <w:t xml:space="preserve"> dyspersyjne</w:t>
            </w:r>
            <w:r w:rsidRPr="00862FE5">
              <w:rPr>
                <w:rFonts w:ascii="Lato" w:hAnsi="Lato" w:cs="Arial"/>
                <w:color w:val="auto"/>
                <w:sz w:val="20"/>
                <w:szCs w:val="20"/>
              </w:rPr>
              <w:tab/>
              <w:t xml:space="preserve"> do</w:t>
            </w:r>
            <w:r w:rsidRPr="00862FE5">
              <w:rPr>
                <w:rFonts w:ascii="Lato" w:hAnsi="Lato" w:cs="Arial"/>
                <w:color w:val="auto"/>
                <w:sz w:val="20"/>
                <w:szCs w:val="20"/>
              </w:rPr>
              <w:tab/>
              <w:t xml:space="preserve"> malowania</w:t>
            </w:r>
            <w:r w:rsidRPr="00862FE5">
              <w:rPr>
                <w:rFonts w:ascii="Lato" w:hAnsi="Lato" w:cs="Arial"/>
                <w:color w:val="auto"/>
                <w:sz w:val="20"/>
                <w:szCs w:val="20"/>
              </w:rPr>
              <w:tab/>
              <w:t xml:space="preserve"> elewacji budynków.</w:t>
            </w:r>
          </w:p>
        </w:tc>
      </w:tr>
      <w:tr w:rsidR="00C12CF0" w:rsidRPr="00862FE5" w14:paraId="1143D709" w14:textId="77777777" w:rsidTr="00BA538A">
        <w:trPr>
          <w:trHeight w:val="353"/>
        </w:trPr>
        <w:tc>
          <w:tcPr>
            <w:tcW w:w="770" w:type="dxa"/>
          </w:tcPr>
          <w:p w14:paraId="6FE714C2"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10.</w:t>
            </w:r>
          </w:p>
        </w:tc>
        <w:tc>
          <w:tcPr>
            <w:tcW w:w="2805" w:type="dxa"/>
          </w:tcPr>
          <w:p w14:paraId="0F145C4D"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PN-C-81914:2002</w:t>
            </w:r>
          </w:p>
        </w:tc>
        <w:tc>
          <w:tcPr>
            <w:tcW w:w="5019" w:type="dxa"/>
          </w:tcPr>
          <w:p w14:paraId="1B25B956"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Farby dyspersyjne stosowane wewnątrz.</w:t>
            </w:r>
          </w:p>
        </w:tc>
      </w:tr>
      <w:tr w:rsidR="00C12CF0" w:rsidRPr="00862FE5" w14:paraId="7B83B0A2" w14:textId="77777777" w:rsidTr="00BA538A">
        <w:trPr>
          <w:trHeight w:val="621"/>
        </w:trPr>
        <w:tc>
          <w:tcPr>
            <w:tcW w:w="770" w:type="dxa"/>
          </w:tcPr>
          <w:p w14:paraId="729D2FFC" w14:textId="77777777" w:rsidR="006E2DFB" w:rsidRPr="00862FE5" w:rsidRDefault="00AA110B">
            <w:pPr>
              <w:spacing w:after="0" w:line="259" w:lineRule="auto"/>
              <w:ind w:left="60" w:right="0" w:firstLine="0"/>
              <w:jc w:val="left"/>
              <w:rPr>
                <w:rFonts w:ascii="Lato" w:hAnsi="Lato" w:cs="Arial"/>
                <w:color w:val="auto"/>
                <w:sz w:val="20"/>
                <w:szCs w:val="20"/>
              </w:rPr>
            </w:pPr>
            <w:r w:rsidRPr="00862FE5">
              <w:rPr>
                <w:rFonts w:ascii="Lato" w:hAnsi="Lato" w:cs="Arial"/>
                <w:color w:val="auto"/>
                <w:sz w:val="20"/>
                <w:szCs w:val="20"/>
              </w:rPr>
              <w:t>11.</w:t>
            </w:r>
          </w:p>
        </w:tc>
        <w:tc>
          <w:tcPr>
            <w:tcW w:w="2805" w:type="dxa"/>
          </w:tcPr>
          <w:p w14:paraId="1346CDD6" w14:textId="77777777" w:rsidR="006E2DFB" w:rsidRPr="00862FE5" w:rsidRDefault="00AA110B">
            <w:pPr>
              <w:spacing w:after="0" w:line="259" w:lineRule="auto"/>
              <w:ind w:left="0" w:right="0" w:firstLine="0"/>
              <w:jc w:val="left"/>
              <w:rPr>
                <w:rFonts w:ascii="Lato" w:hAnsi="Lato" w:cs="Arial"/>
                <w:color w:val="auto"/>
                <w:sz w:val="20"/>
                <w:szCs w:val="20"/>
              </w:rPr>
            </w:pPr>
            <w:r w:rsidRPr="00862FE5">
              <w:rPr>
                <w:rFonts w:ascii="Lato" w:hAnsi="Lato" w:cs="Arial"/>
                <w:color w:val="auto"/>
                <w:sz w:val="20"/>
                <w:szCs w:val="20"/>
              </w:rPr>
              <w:t>PN-EN 1008:2004</w:t>
            </w:r>
          </w:p>
        </w:tc>
        <w:tc>
          <w:tcPr>
            <w:tcW w:w="5019" w:type="dxa"/>
          </w:tcPr>
          <w:p w14:paraId="1E5344D0" w14:textId="77777777" w:rsidR="006E2DFB" w:rsidRPr="00862FE5" w:rsidRDefault="00AA110B">
            <w:pPr>
              <w:spacing w:after="0" w:line="259" w:lineRule="auto"/>
              <w:ind w:left="0" w:right="0" w:firstLine="0"/>
              <w:rPr>
                <w:rFonts w:ascii="Lato" w:hAnsi="Lato" w:cs="Arial"/>
                <w:color w:val="auto"/>
                <w:sz w:val="20"/>
                <w:szCs w:val="20"/>
              </w:rPr>
            </w:pPr>
            <w:r w:rsidRPr="00862FE5">
              <w:rPr>
                <w:rFonts w:ascii="Lato" w:hAnsi="Lato" w:cs="Arial"/>
                <w:color w:val="auto"/>
                <w:sz w:val="20"/>
                <w:szCs w:val="20"/>
              </w:rPr>
              <w:t>Woda zarobowa do betonu – Specyfikacja pobierania próbek, badanie i ocena przydatności wody zarobowej do betonu, w tym wody odzyskanej z procesów produkcji betonu.</w:t>
            </w:r>
          </w:p>
        </w:tc>
      </w:tr>
      <w:tr w:rsidR="00C12CF0" w:rsidRPr="00862FE5" w14:paraId="35918121" w14:textId="77777777" w:rsidTr="00BA538A">
        <w:trPr>
          <w:trHeight w:val="402"/>
        </w:trPr>
        <w:tc>
          <w:tcPr>
            <w:tcW w:w="770" w:type="dxa"/>
          </w:tcPr>
          <w:p w14:paraId="01DF1805" w14:textId="77777777" w:rsidR="00BA538A" w:rsidRPr="00862FE5" w:rsidRDefault="00BA538A">
            <w:pPr>
              <w:spacing w:after="0" w:line="259" w:lineRule="auto"/>
              <w:ind w:left="60" w:right="0" w:firstLine="0"/>
              <w:jc w:val="left"/>
              <w:rPr>
                <w:rFonts w:ascii="Lato" w:hAnsi="Lato" w:cs="Arial"/>
                <w:color w:val="auto"/>
                <w:sz w:val="20"/>
                <w:szCs w:val="20"/>
              </w:rPr>
            </w:pPr>
          </w:p>
        </w:tc>
        <w:tc>
          <w:tcPr>
            <w:tcW w:w="2805" w:type="dxa"/>
          </w:tcPr>
          <w:p w14:paraId="66A91A43" w14:textId="77777777" w:rsidR="00BA538A" w:rsidRPr="00862FE5" w:rsidRDefault="00BA538A">
            <w:pPr>
              <w:spacing w:after="0" w:line="259" w:lineRule="auto"/>
              <w:ind w:left="0" w:right="0" w:firstLine="0"/>
              <w:jc w:val="left"/>
              <w:rPr>
                <w:rFonts w:ascii="Lato" w:hAnsi="Lato" w:cs="Arial"/>
                <w:color w:val="auto"/>
                <w:sz w:val="20"/>
                <w:szCs w:val="20"/>
              </w:rPr>
            </w:pPr>
          </w:p>
        </w:tc>
        <w:tc>
          <w:tcPr>
            <w:tcW w:w="5019" w:type="dxa"/>
          </w:tcPr>
          <w:p w14:paraId="00617350" w14:textId="77777777" w:rsidR="00BA538A" w:rsidRPr="00862FE5" w:rsidRDefault="00BA538A">
            <w:pPr>
              <w:spacing w:after="0" w:line="259" w:lineRule="auto"/>
              <w:ind w:left="0" w:right="0" w:firstLine="0"/>
              <w:rPr>
                <w:rFonts w:ascii="Lato" w:hAnsi="Lato" w:cs="Arial"/>
                <w:color w:val="auto"/>
                <w:sz w:val="20"/>
                <w:szCs w:val="20"/>
              </w:rPr>
            </w:pPr>
          </w:p>
        </w:tc>
      </w:tr>
    </w:tbl>
    <w:p w14:paraId="061C253A" w14:textId="77777777" w:rsidR="006E2DFB" w:rsidRPr="00862FE5" w:rsidRDefault="00AA110B">
      <w:pPr>
        <w:spacing w:after="11" w:line="248" w:lineRule="auto"/>
        <w:ind w:left="-5" w:right="0"/>
        <w:jc w:val="left"/>
        <w:rPr>
          <w:rFonts w:ascii="Lato" w:hAnsi="Lato" w:cs="Arial"/>
          <w:color w:val="auto"/>
          <w:sz w:val="20"/>
          <w:szCs w:val="20"/>
        </w:rPr>
      </w:pPr>
      <w:r w:rsidRPr="00862FE5">
        <w:rPr>
          <w:rFonts w:ascii="Lato" w:hAnsi="Lato" w:cs="Arial"/>
          <w:color w:val="auto"/>
          <w:sz w:val="20"/>
          <w:szCs w:val="20"/>
        </w:rPr>
        <w:t>10.2. Inne dokumenty i instrukcje</w:t>
      </w:r>
    </w:p>
    <w:p w14:paraId="00CCC49E" w14:textId="77777777" w:rsidR="006E2DFB" w:rsidRPr="00862FE5" w:rsidRDefault="00AA110B">
      <w:pPr>
        <w:ind w:left="271" w:right="0" w:hanging="286"/>
        <w:rPr>
          <w:rFonts w:ascii="Lato" w:hAnsi="Lato" w:cs="Arial"/>
          <w:color w:val="auto"/>
          <w:sz w:val="20"/>
          <w:szCs w:val="20"/>
        </w:rPr>
      </w:pPr>
      <w:r w:rsidRPr="00862FE5">
        <w:rPr>
          <w:rFonts w:ascii="Lato" w:hAnsi="Lato" w:cs="Arial"/>
          <w:color w:val="auto"/>
          <w:sz w:val="20"/>
          <w:szCs w:val="20"/>
        </w:rPr>
        <w:t>− Specyfikacja techniczna wykonania i odbioru robót budowlanych – Wymagania ogólne Kod CPV 45000000-7, wydanie 3, OWEOB Promocja – 2011 rok.</w:t>
      </w:r>
    </w:p>
    <w:p w14:paraId="4A9F8AC2" w14:textId="77777777" w:rsidR="006E2DFB" w:rsidRPr="00862FE5" w:rsidRDefault="00AA110B">
      <w:pPr>
        <w:ind w:left="271" w:right="0" w:hanging="286"/>
        <w:rPr>
          <w:rFonts w:ascii="Lato" w:hAnsi="Lato" w:cs="Arial"/>
          <w:color w:val="auto"/>
          <w:sz w:val="20"/>
          <w:szCs w:val="20"/>
        </w:rPr>
      </w:pPr>
      <w:r w:rsidRPr="00862FE5">
        <w:rPr>
          <w:rFonts w:ascii="Lato" w:hAnsi="Lato" w:cs="Arial"/>
          <w:color w:val="auto"/>
          <w:sz w:val="20"/>
          <w:szCs w:val="20"/>
        </w:rPr>
        <w:t>− Warunki techniczne wykonania i odbioru robót budowlanych, Część B – Roboty wykończeniowe, zeszyt 4 „Powłoki malarskie zewnętrzne i wewnętrzne”, wydanie ITB – 2011 rok.</w:t>
      </w:r>
    </w:p>
    <w:p w14:paraId="659B1881" w14:textId="77777777" w:rsidR="006E2DFB" w:rsidRPr="00862FE5" w:rsidRDefault="00AA110B">
      <w:pPr>
        <w:ind w:left="271" w:right="0" w:hanging="286"/>
        <w:rPr>
          <w:rFonts w:ascii="Lato" w:hAnsi="Lato" w:cs="Arial"/>
          <w:color w:val="auto"/>
          <w:sz w:val="20"/>
          <w:szCs w:val="20"/>
        </w:rPr>
      </w:pPr>
      <w:r w:rsidRPr="00862FE5">
        <w:rPr>
          <w:rFonts w:ascii="Lato" w:hAnsi="Lato" w:cs="Arial"/>
          <w:color w:val="auto"/>
          <w:sz w:val="20"/>
          <w:szCs w:val="20"/>
        </w:rPr>
        <w:t>− Warunki techniczne wykonania i odbioru robót budowlanych, tom 1, część 4, wydanie Arkady – 1990 rok.</w:t>
      </w:r>
    </w:p>
    <w:sectPr w:rsidR="006E2DFB" w:rsidRPr="00862FE5" w:rsidSect="004F7B3F">
      <w:headerReference w:type="default" r:id="rId8"/>
      <w:footerReference w:type="even" r:id="rId9"/>
      <w:footerReference w:type="default" r:id="rId10"/>
      <w:footerReference w:type="first" r:id="rId11"/>
      <w:pgSz w:w="11900" w:h="16840"/>
      <w:pgMar w:top="1207" w:right="1207" w:bottom="1183" w:left="1207" w:header="708" w:footer="52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53B43" w14:textId="77777777" w:rsidR="001808C6" w:rsidRDefault="001808C6">
      <w:pPr>
        <w:spacing w:after="0" w:line="240" w:lineRule="auto"/>
      </w:pPr>
      <w:r>
        <w:separator/>
      </w:r>
    </w:p>
  </w:endnote>
  <w:endnote w:type="continuationSeparator" w:id="0">
    <w:p w14:paraId="40A997E5" w14:textId="77777777" w:rsidR="001808C6" w:rsidRDefault="00180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FA4DC" w14:textId="77777777" w:rsidR="006E2DFB" w:rsidRDefault="00AA110B">
    <w:pPr>
      <w:spacing w:after="0"/>
      <w:ind w:left="1848" w:right="283" w:hanging="595"/>
      <w:jc w:val="left"/>
    </w:pPr>
    <w:r>
      <w:rPr>
        <w:sz w:val="18"/>
      </w:rPr>
      <w:t>Specyfikacja została sporządzona w systemie                       na podstawie standardowej</w:t>
    </w:r>
    <w:r>
      <w:rPr>
        <w:color w:val="004E92"/>
        <w:sz w:val="18"/>
      </w:rPr>
      <w:t>SEKO</w:t>
    </w:r>
    <w:r>
      <w:rPr>
        <w:color w:val="3399CC"/>
      </w:rPr>
      <w:t>spec</w:t>
    </w:r>
    <w:r>
      <w:rPr>
        <w:color w:val="004E92"/>
        <w:sz w:val="18"/>
      </w:rPr>
      <w:t>SEKO</w:t>
    </w:r>
    <w:r>
      <w:rPr>
        <w:color w:val="3399CC"/>
      </w:rPr>
      <w:t xml:space="preserve">spec </w:t>
    </w:r>
    <w:r>
      <w:rPr>
        <w:sz w:val="18"/>
      </w:rPr>
      <w:t>specyfikacji technicznej opracowanej przez OWEOB Promocja Sp. z o.o.OWEOB Promocja Sp. z o.o. 2005</w:t>
    </w:r>
  </w:p>
  <w:p w14:paraId="5BA44AC9" w14:textId="77777777" w:rsidR="006E2DFB" w:rsidRDefault="00AA110B">
    <w:pPr>
      <w:spacing w:after="0" w:line="259" w:lineRule="auto"/>
      <w:ind w:left="0" w:right="-114"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BC769" w14:textId="77777777" w:rsidR="006E2DFB" w:rsidRDefault="00AA110B">
    <w:pPr>
      <w:spacing w:after="0" w:line="259" w:lineRule="auto"/>
      <w:ind w:left="0" w:right="-114"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3108E" w14:textId="77777777" w:rsidR="006E2DFB" w:rsidRDefault="00AA110B">
    <w:pPr>
      <w:spacing w:after="0" w:line="259" w:lineRule="auto"/>
      <w:ind w:left="0" w:right="-114" w:firstLine="0"/>
      <w:jc w:val="right"/>
    </w:pPr>
    <w:r>
      <w:fldChar w:fldCharType="begin"/>
    </w:r>
    <w:r>
      <w:instrText xml:space="preserve"> PAGE   \* MERGEFORMAT </w:instrText>
    </w:r>
    <w: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CB664" w14:textId="77777777" w:rsidR="001808C6" w:rsidRDefault="001808C6">
      <w:pPr>
        <w:spacing w:after="0" w:line="240" w:lineRule="auto"/>
      </w:pPr>
      <w:r>
        <w:separator/>
      </w:r>
    </w:p>
  </w:footnote>
  <w:footnote w:type="continuationSeparator" w:id="0">
    <w:p w14:paraId="41720FB3" w14:textId="77777777" w:rsidR="001808C6" w:rsidRDefault="00180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B2BCE" w14:textId="77777777" w:rsidR="00864D33" w:rsidRDefault="00864D33" w:rsidP="00855262">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3401B"/>
    <w:multiLevelType w:val="hybridMultilevel"/>
    <w:tmpl w:val="06A67A84"/>
    <w:lvl w:ilvl="0" w:tplc="BC082380">
      <w:start w:val="1"/>
      <w:numFmt w:val="bullet"/>
      <w:lvlText w:val="–"/>
      <w:lvlJc w:val="left"/>
      <w:pPr>
        <w:ind w:left="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74850AC">
      <w:start w:val="1"/>
      <w:numFmt w:val="bullet"/>
      <w:lvlText w:val="•"/>
      <w:lvlJc w:val="left"/>
      <w:pPr>
        <w:ind w:left="5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22C4B5C">
      <w:start w:val="1"/>
      <w:numFmt w:val="bullet"/>
      <w:lvlText w:val="▪"/>
      <w:lvlJc w:val="left"/>
      <w:pPr>
        <w:ind w:left="1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638E012">
      <w:start w:val="1"/>
      <w:numFmt w:val="bullet"/>
      <w:lvlText w:val="•"/>
      <w:lvlJc w:val="left"/>
      <w:pPr>
        <w:ind w:left="2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1B65014">
      <w:start w:val="1"/>
      <w:numFmt w:val="bullet"/>
      <w:lvlText w:val="o"/>
      <w:lvlJc w:val="left"/>
      <w:pPr>
        <w:ind w:left="2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58A9936">
      <w:start w:val="1"/>
      <w:numFmt w:val="bullet"/>
      <w:lvlText w:val="▪"/>
      <w:lvlJc w:val="left"/>
      <w:pPr>
        <w:ind w:left="3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F2256C0">
      <w:start w:val="1"/>
      <w:numFmt w:val="bullet"/>
      <w:lvlText w:val="•"/>
      <w:lvlJc w:val="left"/>
      <w:pPr>
        <w:ind w:left="4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4867AA8">
      <w:start w:val="1"/>
      <w:numFmt w:val="bullet"/>
      <w:lvlText w:val="o"/>
      <w:lvlJc w:val="left"/>
      <w:pPr>
        <w:ind w:left="4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E169D58">
      <w:start w:val="1"/>
      <w:numFmt w:val="bullet"/>
      <w:lvlText w:val="▪"/>
      <w:lvlJc w:val="left"/>
      <w:pPr>
        <w:ind w:left="5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754601"/>
    <w:multiLevelType w:val="hybridMultilevel"/>
    <w:tmpl w:val="22E4C8FC"/>
    <w:lvl w:ilvl="0" w:tplc="E3002616">
      <w:start w:val="1"/>
      <w:numFmt w:val="lowerLetter"/>
      <w:lvlText w:val="%1)"/>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8B968B3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9D80F1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A08F0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E16BCE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2928AE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268DD4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278CA8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18A99D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690A58"/>
    <w:multiLevelType w:val="multilevel"/>
    <w:tmpl w:val="EEC492D2"/>
    <w:lvl w:ilvl="0">
      <w:start w:val="5"/>
      <w:numFmt w:val="decimal"/>
      <w:lvlText w:val="%1."/>
      <w:lvlJc w:val="left"/>
      <w:pPr>
        <w:ind w:left="451" w:firstLine="0"/>
      </w:pPr>
      <w:rPr>
        <w:rFonts w:ascii="Arial" w:eastAsia="Calibri" w:hAnsi="Arial" w:cs="Arial" w:hint="default"/>
        <w:b/>
        <w:bCs w:val="0"/>
        <w:i w:val="0"/>
        <w:strike w:val="0"/>
        <w:dstrike w:val="0"/>
        <w:color w:val="000000"/>
        <w:sz w:val="16"/>
        <w:szCs w:val="16"/>
        <w:u w:val="none" w:color="000000"/>
        <w:vertAlign w:val="baseline"/>
      </w:rPr>
    </w:lvl>
    <w:lvl w:ilvl="1">
      <w:start w:val="5"/>
      <w:numFmt w:val="decimal"/>
      <w:lvlText w:val="%1.%2."/>
      <w:lvlJc w:val="left"/>
      <w:pPr>
        <w:ind w:left="1291" w:firstLine="0"/>
      </w:pPr>
      <w:rPr>
        <w:rFonts w:ascii="Arial" w:eastAsia="Calibri" w:hAnsi="Arial" w:cs="Arial" w:hint="default"/>
        <w:b/>
        <w:bCs/>
        <w:i w:val="0"/>
        <w:strike w:val="0"/>
        <w:dstrike w:val="0"/>
        <w:color w:val="000000"/>
        <w:sz w:val="16"/>
        <w:szCs w:val="16"/>
        <w:u w:val="none" w:color="000000"/>
        <w:vertAlign w:val="baseline"/>
      </w:rPr>
    </w:lvl>
    <w:lvl w:ilvl="2">
      <w:start w:val="1"/>
      <w:numFmt w:val="lowerRoman"/>
      <w:lvlText w:val="%3"/>
      <w:lvlJc w:val="left"/>
      <w:pPr>
        <w:ind w:left="1080" w:firstLine="0"/>
      </w:pPr>
      <w:rPr>
        <w:rFonts w:ascii="Calibri" w:eastAsia="Calibri" w:hAnsi="Calibri" w:cs="Calibri" w:hint="default"/>
        <w:b w:val="0"/>
        <w:i w:val="0"/>
        <w:strike w:val="0"/>
        <w:dstrike w:val="0"/>
        <w:color w:val="000000"/>
        <w:sz w:val="22"/>
        <w:szCs w:val="22"/>
        <w:u w:val="none" w:color="000000"/>
        <w:vertAlign w:val="baseline"/>
      </w:rPr>
    </w:lvl>
    <w:lvl w:ilvl="3">
      <w:start w:val="1"/>
      <w:numFmt w:val="decimal"/>
      <w:lvlText w:val="%4"/>
      <w:lvlJc w:val="left"/>
      <w:pPr>
        <w:ind w:left="1800" w:firstLine="0"/>
      </w:pPr>
      <w:rPr>
        <w:rFonts w:ascii="Calibri" w:eastAsia="Calibri" w:hAnsi="Calibri" w:cs="Calibri"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Calibri" w:eastAsia="Calibri" w:hAnsi="Calibri" w:cs="Calibri"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Calibri" w:eastAsia="Calibri" w:hAnsi="Calibri" w:cs="Calibri"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Calibri" w:eastAsia="Calibri" w:hAnsi="Calibri" w:cs="Calibri"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Calibri" w:eastAsia="Calibri" w:hAnsi="Calibri" w:cs="Calibri"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Calibri" w:eastAsia="Calibri" w:hAnsi="Calibri" w:cs="Calibri" w:hint="default"/>
        <w:b w:val="0"/>
        <w:i w:val="0"/>
        <w:strike w:val="0"/>
        <w:dstrike w:val="0"/>
        <w:color w:val="000000"/>
        <w:sz w:val="22"/>
        <w:szCs w:val="22"/>
        <w:u w:val="none" w:color="000000"/>
        <w:vertAlign w:val="baseline"/>
      </w:rPr>
    </w:lvl>
  </w:abstractNum>
  <w:abstractNum w:abstractNumId="3" w15:restartNumberingAfterBreak="0">
    <w:nsid w:val="0E1A3959"/>
    <w:multiLevelType w:val="hybridMultilevel"/>
    <w:tmpl w:val="B8B8D8E0"/>
    <w:lvl w:ilvl="0" w:tplc="B67C4228">
      <w:start w:val="1"/>
      <w:numFmt w:val="bullet"/>
      <w:lvlText w:val="•"/>
      <w:lvlJc w:val="left"/>
      <w:pPr>
        <w:ind w:left="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3AA5D2A">
      <w:start w:val="1"/>
      <w:numFmt w:val="bullet"/>
      <w:lvlText w:val="–"/>
      <w:lvlJc w:val="left"/>
      <w:pPr>
        <w:ind w:left="11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E073C2">
      <w:start w:val="1"/>
      <w:numFmt w:val="bullet"/>
      <w:lvlText w:val="▪"/>
      <w:lvlJc w:val="left"/>
      <w:pPr>
        <w:ind w:left="1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6E5634">
      <w:start w:val="1"/>
      <w:numFmt w:val="bullet"/>
      <w:lvlText w:val="•"/>
      <w:lvlJc w:val="left"/>
      <w:pPr>
        <w:ind w:left="2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2E4CD3A">
      <w:start w:val="1"/>
      <w:numFmt w:val="bullet"/>
      <w:lvlText w:val="o"/>
      <w:lvlJc w:val="left"/>
      <w:pPr>
        <w:ind w:left="3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B6E2E0A">
      <w:start w:val="1"/>
      <w:numFmt w:val="bullet"/>
      <w:lvlText w:val="▪"/>
      <w:lvlJc w:val="left"/>
      <w:pPr>
        <w:ind w:left="3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F8045B4">
      <w:start w:val="1"/>
      <w:numFmt w:val="bullet"/>
      <w:lvlText w:val="•"/>
      <w:lvlJc w:val="left"/>
      <w:pPr>
        <w:ind w:left="4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C5AD37E">
      <w:start w:val="1"/>
      <w:numFmt w:val="bullet"/>
      <w:lvlText w:val="o"/>
      <w:lvlJc w:val="left"/>
      <w:pPr>
        <w:ind w:left="5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40213FA">
      <w:start w:val="1"/>
      <w:numFmt w:val="bullet"/>
      <w:lvlText w:val="▪"/>
      <w:lvlJc w:val="left"/>
      <w:pPr>
        <w:ind w:left="6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E3C3A7C"/>
    <w:multiLevelType w:val="hybridMultilevel"/>
    <w:tmpl w:val="E870AFB6"/>
    <w:lvl w:ilvl="0" w:tplc="793671A4">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1C6EFF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D5230F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9EEF3C6">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DC9C8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A2185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D84C9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84EB8F6">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364827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01E14C1"/>
    <w:multiLevelType w:val="hybridMultilevel"/>
    <w:tmpl w:val="CC7C5574"/>
    <w:lvl w:ilvl="0" w:tplc="ABA20776">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9EECB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3AC4A7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9E8F5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20AD73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7648A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98B6C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E467BA6">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3E481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F54ADC"/>
    <w:multiLevelType w:val="hybridMultilevel"/>
    <w:tmpl w:val="33CA4FFC"/>
    <w:lvl w:ilvl="0" w:tplc="CA50D438">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87C5B3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87CEE1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25689A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DD8E07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B6D05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9A8900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F62D9E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92A69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00B6E29"/>
    <w:multiLevelType w:val="hybridMultilevel"/>
    <w:tmpl w:val="FEE2DF3E"/>
    <w:lvl w:ilvl="0" w:tplc="E7265B0E">
      <w:start w:val="2"/>
      <w:numFmt w:val="decimal"/>
      <w:lvlText w:val="%1."/>
      <w:lvlJc w:val="left"/>
      <w:pPr>
        <w:ind w:left="3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tplc="F6BAC28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D6D3A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54131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DD8957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8F8292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4E242A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D42302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2023B2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EB33912"/>
    <w:multiLevelType w:val="hybridMultilevel"/>
    <w:tmpl w:val="3FC01BF2"/>
    <w:lvl w:ilvl="0" w:tplc="9B9AF6C2">
      <w:start w:val="1"/>
      <w:numFmt w:val="bullet"/>
      <w:lvlText w:val="•"/>
      <w:lvlJc w:val="left"/>
      <w:pPr>
        <w:ind w:left="5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0B2D25C">
      <w:start w:val="1"/>
      <w:numFmt w:val="bullet"/>
      <w:lvlText w:val="o"/>
      <w:lvlJc w:val="left"/>
      <w:pPr>
        <w:ind w:left="1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9727064">
      <w:start w:val="1"/>
      <w:numFmt w:val="bullet"/>
      <w:lvlText w:val="▪"/>
      <w:lvlJc w:val="left"/>
      <w:pPr>
        <w:ind w:left="2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E2EE38C">
      <w:start w:val="1"/>
      <w:numFmt w:val="bullet"/>
      <w:lvlText w:val="•"/>
      <w:lvlJc w:val="left"/>
      <w:pPr>
        <w:ind w:left="2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CE64F1E">
      <w:start w:val="1"/>
      <w:numFmt w:val="bullet"/>
      <w:lvlText w:val="o"/>
      <w:lvlJc w:val="left"/>
      <w:pPr>
        <w:ind w:left="3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0444620">
      <w:start w:val="1"/>
      <w:numFmt w:val="bullet"/>
      <w:lvlText w:val="▪"/>
      <w:lvlJc w:val="left"/>
      <w:pPr>
        <w:ind w:left="4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81A3712">
      <w:start w:val="1"/>
      <w:numFmt w:val="bullet"/>
      <w:lvlText w:val="•"/>
      <w:lvlJc w:val="left"/>
      <w:pPr>
        <w:ind w:left="4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AFE98DE">
      <w:start w:val="1"/>
      <w:numFmt w:val="bullet"/>
      <w:lvlText w:val="o"/>
      <w:lvlJc w:val="left"/>
      <w:pPr>
        <w:ind w:left="5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412180E">
      <w:start w:val="1"/>
      <w:numFmt w:val="bullet"/>
      <w:lvlText w:val="▪"/>
      <w:lvlJc w:val="left"/>
      <w:pPr>
        <w:ind w:left="6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2F811FB"/>
    <w:multiLevelType w:val="multilevel"/>
    <w:tmpl w:val="0D0600A6"/>
    <w:lvl w:ilvl="0">
      <w:start w:val="6"/>
      <w:numFmt w:val="decimal"/>
      <w:lvlText w:val="%1."/>
      <w:lvlJc w:val="left"/>
      <w:pPr>
        <w:ind w:left="571"/>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51F1DD4"/>
    <w:multiLevelType w:val="hybridMultilevel"/>
    <w:tmpl w:val="1CBCAE86"/>
    <w:lvl w:ilvl="0" w:tplc="DF960EB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E1A62D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7C57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C42FC6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E74755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B864D6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78CA8F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DD6F1A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CEF7A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C72310C"/>
    <w:multiLevelType w:val="hybridMultilevel"/>
    <w:tmpl w:val="BB04F94C"/>
    <w:lvl w:ilvl="0" w:tplc="9C3896AA">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5D6A2A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568AD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492CB7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3E895A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16247E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250DB2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56507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E3BB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EDC3F18"/>
    <w:multiLevelType w:val="hybridMultilevel"/>
    <w:tmpl w:val="9F96CE6A"/>
    <w:lvl w:ilvl="0" w:tplc="741A7C18">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7CE93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A280D1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3525AC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7DCE3F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6D80630">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9CD96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71EAF36">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C6EFE1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2376FE8"/>
    <w:multiLevelType w:val="hybridMultilevel"/>
    <w:tmpl w:val="D564E07A"/>
    <w:lvl w:ilvl="0" w:tplc="29840256">
      <w:start w:val="1"/>
      <w:numFmt w:val="decimal"/>
      <w:lvlText w:val="%1."/>
      <w:lvlJc w:val="left"/>
      <w:pPr>
        <w:ind w:left="370"/>
      </w:pPr>
      <w:rPr>
        <w:rFonts w:ascii="Lato" w:eastAsia="Calibri" w:hAnsi="Lato" w:cs="Arial" w:hint="default"/>
        <w:b w:val="0"/>
        <w:bCs/>
        <w:i w:val="0"/>
        <w:strike w:val="0"/>
        <w:dstrike w:val="0"/>
        <w:color w:val="000000"/>
        <w:sz w:val="20"/>
        <w:szCs w:val="20"/>
        <w:u w:val="none" w:color="000000"/>
        <w:bdr w:val="none" w:sz="0" w:space="0" w:color="auto"/>
        <w:shd w:val="clear" w:color="auto" w:fill="auto"/>
        <w:vertAlign w:val="baseline"/>
      </w:rPr>
    </w:lvl>
    <w:lvl w:ilvl="1" w:tplc="ABAEB21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61222D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F3A19C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5846A5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B56E1D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CE8F82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67E00D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668BD2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2782599"/>
    <w:multiLevelType w:val="hybridMultilevel"/>
    <w:tmpl w:val="68FACCE4"/>
    <w:lvl w:ilvl="0" w:tplc="BDA87B54">
      <w:start w:val="1"/>
      <w:numFmt w:val="lowerLetter"/>
      <w:lvlText w:val="%1)"/>
      <w:lvlJc w:val="left"/>
      <w:pPr>
        <w:ind w:left="34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5E64BF86">
      <w:start w:val="1"/>
      <w:numFmt w:val="bullet"/>
      <w:lvlText w:val="•"/>
      <w:lvlJc w:val="left"/>
      <w:pPr>
        <w:ind w:left="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7E19F4">
      <w:start w:val="1"/>
      <w:numFmt w:val="bullet"/>
      <w:lvlText w:val="▪"/>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3A4264">
      <w:start w:val="1"/>
      <w:numFmt w:val="bullet"/>
      <w:lvlText w:val="•"/>
      <w:lvlJc w:val="left"/>
      <w:pPr>
        <w:ind w:left="2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35A8126">
      <w:start w:val="1"/>
      <w:numFmt w:val="bullet"/>
      <w:lvlText w:val="o"/>
      <w:lvlJc w:val="left"/>
      <w:pPr>
        <w:ind w:left="2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21A4">
      <w:start w:val="1"/>
      <w:numFmt w:val="bullet"/>
      <w:lvlText w:val="▪"/>
      <w:lvlJc w:val="left"/>
      <w:pPr>
        <w:ind w:left="3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EE5E1C">
      <w:start w:val="1"/>
      <w:numFmt w:val="bullet"/>
      <w:lvlText w:val="•"/>
      <w:lvlJc w:val="left"/>
      <w:pPr>
        <w:ind w:left="4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8C2A7A">
      <w:start w:val="1"/>
      <w:numFmt w:val="bullet"/>
      <w:lvlText w:val="o"/>
      <w:lvlJc w:val="left"/>
      <w:pPr>
        <w:ind w:left="4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F453E4">
      <w:start w:val="1"/>
      <w:numFmt w:val="bullet"/>
      <w:lvlText w:val="▪"/>
      <w:lvlJc w:val="left"/>
      <w:pPr>
        <w:ind w:left="5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5562430"/>
    <w:multiLevelType w:val="multilevel"/>
    <w:tmpl w:val="084CB082"/>
    <w:lvl w:ilvl="0">
      <w:start w:val="3"/>
      <w:numFmt w:val="decimal"/>
      <w:lvlText w:val="%1."/>
      <w:lvlJc w:val="left"/>
      <w:pPr>
        <w:ind w:left="36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9E34BBF"/>
    <w:multiLevelType w:val="multilevel"/>
    <w:tmpl w:val="300814D4"/>
    <w:lvl w:ilvl="0">
      <w:start w:val="4"/>
      <w:numFmt w:val="decimal"/>
      <w:lvlText w:val="%1."/>
      <w:lvlJc w:val="left"/>
      <w:pPr>
        <w:ind w:left="451"/>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9E631F1"/>
    <w:multiLevelType w:val="hybridMultilevel"/>
    <w:tmpl w:val="EF88D46E"/>
    <w:lvl w:ilvl="0" w:tplc="28582770">
      <w:start w:val="1"/>
      <w:numFmt w:val="lowerLetter"/>
      <w:lvlText w:val="%1)"/>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5806569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0AEFB7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7944BE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F5C493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C62CD8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24677F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956AAE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0EFD5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9EA60EC"/>
    <w:multiLevelType w:val="hybridMultilevel"/>
    <w:tmpl w:val="0C3EE290"/>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9" w15:restartNumberingAfterBreak="0">
    <w:nsid w:val="4AE44F1C"/>
    <w:multiLevelType w:val="hybridMultilevel"/>
    <w:tmpl w:val="5818246C"/>
    <w:lvl w:ilvl="0" w:tplc="C180E85C">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37E8BA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B88620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BA4584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CC17DA">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206B3D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1889E0">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3CC3A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AFECF7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B7F06C7"/>
    <w:multiLevelType w:val="hybridMultilevel"/>
    <w:tmpl w:val="86563482"/>
    <w:lvl w:ilvl="0" w:tplc="A942F86E">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7C031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7CA123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B8618A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4BE2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00E8D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9BE28E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9AA4D66">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EEBFE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F681555"/>
    <w:multiLevelType w:val="hybridMultilevel"/>
    <w:tmpl w:val="1A0EE926"/>
    <w:lvl w:ilvl="0" w:tplc="EA568846">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D6C114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778930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4A3FD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80CC3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CA8E7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228E09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7F6F0E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98E475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3D858F9"/>
    <w:multiLevelType w:val="multilevel"/>
    <w:tmpl w:val="3C1A427C"/>
    <w:lvl w:ilvl="0">
      <w:start w:val="8"/>
      <w:numFmt w:val="decimal"/>
      <w:lvlText w:val="%1."/>
      <w:lvlJc w:val="left"/>
      <w:pPr>
        <w:ind w:left="36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decimal"/>
      <w:lvlText w:val="%1.%2.%3."/>
      <w:lvlJc w:val="left"/>
      <w:pPr>
        <w:ind w:left="2174"/>
      </w:pPr>
      <w:rPr>
        <w:rFonts w:ascii="Arial" w:eastAsia="Calibri" w:hAnsi="Arial" w:cs="Arial" w:hint="default"/>
        <w:b w:val="0"/>
        <w:bCs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4FF0BD7"/>
    <w:multiLevelType w:val="hybridMultilevel"/>
    <w:tmpl w:val="9160751C"/>
    <w:lvl w:ilvl="0" w:tplc="2CF2C578">
      <w:start w:val="10"/>
      <w:numFmt w:val="decimal"/>
      <w:lvlText w:val="%1."/>
      <w:lvlJc w:val="left"/>
      <w:pPr>
        <w:ind w:left="36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tplc="E92CE2C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8D4E3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556941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72AD3A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59A257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84F14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C67F2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F58B91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968360A"/>
    <w:multiLevelType w:val="multilevel"/>
    <w:tmpl w:val="3C1A427C"/>
    <w:lvl w:ilvl="0">
      <w:start w:val="8"/>
      <w:numFmt w:val="decimal"/>
      <w:lvlText w:val="%1."/>
      <w:lvlJc w:val="left"/>
      <w:pPr>
        <w:ind w:left="36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decimal"/>
      <w:lvlText w:val="%1.%2.%3."/>
      <w:lvlJc w:val="left"/>
      <w:pPr>
        <w:ind w:left="2174"/>
      </w:pPr>
      <w:rPr>
        <w:rFonts w:ascii="Arial" w:eastAsia="Calibri" w:hAnsi="Arial" w:cs="Arial" w:hint="default"/>
        <w:b w:val="0"/>
        <w:bCs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0474F3D"/>
    <w:multiLevelType w:val="hybridMultilevel"/>
    <w:tmpl w:val="237A58F8"/>
    <w:lvl w:ilvl="0" w:tplc="A920AAE4">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6F2EA48A">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E9C0114">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BFACB8F0">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697ACF2E">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8E364C62">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EB8E970">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ECAE80A6">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DD907156">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6A65726C"/>
    <w:multiLevelType w:val="multilevel"/>
    <w:tmpl w:val="9D426C7C"/>
    <w:lvl w:ilvl="0">
      <w:start w:val="7"/>
      <w:numFmt w:val="decimal"/>
      <w:lvlText w:val="%1."/>
      <w:lvlJc w:val="left"/>
      <w:pPr>
        <w:ind w:left="36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B266873"/>
    <w:multiLevelType w:val="hybridMultilevel"/>
    <w:tmpl w:val="28DCDF64"/>
    <w:lvl w:ilvl="0" w:tplc="7938BAFE">
      <w:start w:val="1"/>
      <w:numFmt w:val="lowerLetter"/>
      <w:lvlText w:val="%1)"/>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DB5CFB6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F3E8AE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A417C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A5E25B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0AED3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DC064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201C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53CEEE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BCF2BEF"/>
    <w:multiLevelType w:val="hybridMultilevel"/>
    <w:tmpl w:val="3AC2A6E6"/>
    <w:lvl w:ilvl="0" w:tplc="3D5669A0">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4BE87C0">
      <w:start w:val="1"/>
      <w:numFmt w:val="bullet"/>
      <w:lvlText w:val="o"/>
      <w:lvlJc w:val="left"/>
      <w:pPr>
        <w:ind w:left="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1624EA4">
      <w:start w:val="1"/>
      <w:numFmt w:val="bullet"/>
      <w:lvlRestart w:val="0"/>
      <w:lvlText w:val="•"/>
      <w:lvlJc w:val="left"/>
      <w:pPr>
        <w:ind w:left="5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CA4C1A">
      <w:start w:val="1"/>
      <w:numFmt w:val="bullet"/>
      <w:lvlText w:val="•"/>
      <w:lvlJc w:val="left"/>
      <w:pPr>
        <w:ind w:left="1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CB2C062">
      <w:start w:val="1"/>
      <w:numFmt w:val="bullet"/>
      <w:lvlText w:val="o"/>
      <w:lvlJc w:val="left"/>
      <w:pPr>
        <w:ind w:left="2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B5CC580">
      <w:start w:val="1"/>
      <w:numFmt w:val="bullet"/>
      <w:lvlText w:val="▪"/>
      <w:lvlJc w:val="left"/>
      <w:pPr>
        <w:ind w:left="2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B443054">
      <w:start w:val="1"/>
      <w:numFmt w:val="bullet"/>
      <w:lvlText w:val="•"/>
      <w:lvlJc w:val="left"/>
      <w:pPr>
        <w:ind w:left="3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302580A">
      <w:start w:val="1"/>
      <w:numFmt w:val="bullet"/>
      <w:lvlText w:val="o"/>
      <w:lvlJc w:val="left"/>
      <w:pPr>
        <w:ind w:left="4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0622036">
      <w:start w:val="1"/>
      <w:numFmt w:val="bullet"/>
      <w:lvlText w:val="▪"/>
      <w:lvlJc w:val="left"/>
      <w:pPr>
        <w:ind w:left="4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D354819"/>
    <w:multiLevelType w:val="multilevel"/>
    <w:tmpl w:val="F72E6798"/>
    <w:lvl w:ilvl="0">
      <w:start w:val="1"/>
      <w:numFmt w:val="decimal"/>
      <w:lvlText w:val="%1."/>
      <w:lvlJc w:val="left"/>
      <w:pPr>
        <w:ind w:left="3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D467791"/>
    <w:multiLevelType w:val="hybridMultilevel"/>
    <w:tmpl w:val="360026A0"/>
    <w:lvl w:ilvl="0" w:tplc="14EE5778">
      <w:start w:val="1"/>
      <w:numFmt w:val="lowerLetter"/>
      <w:lvlText w:val="%1)"/>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EA5C7FD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EA0523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0661A2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A44A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D6109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E4A34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B4E808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00EC0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22E114F"/>
    <w:multiLevelType w:val="hybridMultilevel"/>
    <w:tmpl w:val="813683B4"/>
    <w:lvl w:ilvl="0" w:tplc="0B22726E">
      <w:start w:val="2"/>
      <w:numFmt w:val="lowerLetter"/>
      <w:lvlText w:val="%1)"/>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E45C612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526720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6006CB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FA28B0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7EF66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46204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FCA78E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1E4999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8523912"/>
    <w:multiLevelType w:val="hybridMultilevel"/>
    <w:tmpl w:val="3A72AE32"/>
    <w:lvl w:ilvl="0" w:tplc="2FECBF2C">
      <w:start w:val="1"/>
      <w:numFmt w:val="lowerLetter"/>
      <w:lvlText w:val="%1)"/>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5296A9B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75AC15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2568A1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08C03C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1A6AC3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16C35B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108C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8BA965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246351624">
    <w:abstractNumId w:val="13"/>
  </w:num>
  <w:num w:numId="2" w16cid:durableId="1600335832">
    <w:abstractNumId w:val="29"/>
  </w:num>
  <w:num w:numId="3" w16cid:durableId="99762095">
    <w:abstractNumId w:val="7"/>
  </w:num>
  <w:num w:numId="4" w16cid:durableId="464200373">
    <w:abstractNumId w:val="25"/>
  </w:num>
  <w:num w:numId="5" w16cid:durableId="1350641704">
    <w:abstractNumId w:val="3"/>
  </w:num>
  <w:num w:numId="6" w16cid:durableId="908197912">
    <w:abstractNumId w:val="5"/>
  </w:num>
  <w:num w:numId="7" w16cid:durableId="2072268463">
    <w:abstractNumId w:val="11"/>
  </w:num>
  <w:num w:numId="8" w16cid:durableId="680812656">
    <w:abstractNumId w:val="15"/>
  </w:num>
  <w:num w:numId="9" w16cid:durableId="994528133">
    <w:abstractNumId w:val="21"/>
  </w:num>
  <w:num w:numId="10" w16cid:durableId="300237447">
    <w:abstractNumId w:val="16"/>
  </w:num>
  <w:num w:numId="11" w16cid:durableId="957027679">
    <w:abstractNumId w:val="4"/>
  </w:num>
  <w:num w:numId="12" w16cid:durableId="2056613665">
    <w:abstractNumId w:val="10"/>
  </w:num>
  <w:num w:numId="13" w16cid:durableId="616059185">
    <w:abstractNumId w:val="19"/>
  </w:num>
  <w:num w:numId="14" w16cid:durableId="1044334260">
    <w:abstractNumId w:val="12"/>
  </w:num>
  <w:num w:numId="15" w16cid:durableId="224922813">
    <w:abstractNumId w:val="17"/>
  </w:num>
  <w:num w:numId="16" w16cid:durableId="1436436140">
    <w:abstractNumId w:val="32"/>
  </w:num>
  <w:num w:numId="17" w16cid:durableId="472406648">
    <w:abstractNumId w:val="31"/>
  </w:num>
  <w:num w:numId="18" w16cid:durableId="1948080666">
    <w:abstractNumId w:val="1"/>
  </w:num>
  <w:num w:numId="19" w16cid:durableId="324214259">
    <w:abstractNumId w:val="30"/>
  </w:num>
  <w:num w:numId="20" w16cid:durableId="70741517">
    <w:abstractNumId w:val="27"/>
  </w:num>
  <w:num w:numId="21" w16cid:durableId="1276905503">
    <w:abstractNumId w:val="9"/>
  </w:num>
  <w:num w:numId="22" w16cid:durableId="1570772956">
    <w:abstractNumId w:val="6"/>
  </w:num>
  <w:num w:numId="23" w16cid:durableId="847527207">
    <w:abstractNumId w:val="8"/>
  </w:num>
  <w:num w:numId="24" w16cid:durableId="1776368449">
    <w:abstractNumId w:val="28"/>
  </w:num>
  <w:num w:numId="25" w16cid:durableId="599683289">
    <w:abstractNumId w:val="0"/>
  </w:num>
  <w:num w:numId="26" w16cid:durableId="201555254">
    <w:abstractNumId w:val="14"/>
  </w:num>
  <w:num w:numId="27" w16cid:durableId="767582432">
    <w:abstractNumId w:val="26"/>
  </w:num>
  <w:num w:numId="28" w16cid:durableId="1748503135">
    <w:abstractNumId w:val="24"/>
  </w:num>
  <w:num w:numId="29" w16cid:durableId="473526407">
    <w:abstractNumId w:val="20"/>
  </w:num>
  <w:num w:numId="30" w16cid:durableId="1301108483">
    <w:abstractNumId w:val="23"/>
  </w:num>
  <w:num w:numId="31" w16cid:durableId="113327786">
    <w:abstractNumId w:val="18"/>
  </w:num>
  <w:num w:numId="32" w16cid:durableId="2098478484">
    <w:abstractNumId w:val="2"/>
  </w:num>
  <w:num w:numId="33" w16cid:durableId="124926538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DFB"/>
    <w:rsid w:val="000A19FA"/>
    <w:rsid w:val="001808C6"/>
    <w:rsid w:val="001F2B07"/>
    <w:rsid w:val="0033674E"/>
    <w:rsid w:val="003801CD"/>
    <w:rsid w:val="00403B5C"/>
    <w:rsid w:val="00452840"/>
    <w:rsid w:val="00461C04"/>
    <w:rsid w:val="004F7B3F"/>
    <w:rsid w:val="00537BD9"/>
    <w:rsid w:val="005F2D9D"/>
    <w:rsid w:val="00650F00"/>
    <w:rsid w:val="0066362D"/>
    <w:rsid w:val="006E2DFB"/>
    <w:rsid w:val="0074506A"/>
    <w:rsid w:val="00784132"/>
    <w:rsid w:val="008500D9"/>
    <w:rsid w:val="00855262"/>
    <w:rsid w:val="00862FE5"/>
    <w:rsid w:val="00864D33"/>
    <w:rsid w:val="008C3B65"/>
    <w:rsid w:val="009822DB"/>
    <w:rsid w:val="009D43C7"/>
    <w:rsid w:val="00A93A60"/>
    <w:rsid w:val="00AA110B"/>
    <w:rsid w:val="00AA6181"/>
    <w:rsid w:val="00AB196C"/>
    <w:rsid w:val="00B60BD4"/>
    <w:rsid w:val="00B66B73"/>
    <w:rsid w:val="00BA538A"/>
    <w:rsid w:val="00BA6FBA"/>
    <w:rsid w:val="00BC0788"/>
    <w:rsid w:val="00BE7CCC"/>
    <w:rsid w:val="00C12CF0"/>
    <w:rsid w:val="00DA42C9"/>
    <w:rsid w:val="00DE22B8"/>
    <w:rsid w:val="00F170AF"/>
    <w:rsid w:val="00F57592"/>
    <w:rsid w:val="00F7383B"/>
    <w:rsid w:val="00FA7DE9"/>
    <w:rsid w:val="00FC38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23982"/>
  <w15:docId w15:val="{4883F7D0-7F95-489E-BFAA-A62857E8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26" w:lineRule="auto"/>
      <w:ind w:left="10" w:right="64" w:hanging="10"/>
      <w:jc w:val="both"/>
    </w:pPr>
    <w:rPr>
      <w:rFonts w:ascii="Calibri" w:eastAsia="Calibri" w:hAnsi="Calibri" w:cs="Calibr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AA11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10B"/>
    <w:rPr>
      <w:rFonts w:ascii="Calibri" w:eastAsia="Calibri" w:hAnsi="Calibri" w:cs="Calibri"/>
      <w:color w:val="000000"/>
    </w:rPr>
  </w:style>
  <w:style w:type="paragraph" w:styleId="Akapitzlist">
    <w:name w:val="List Paragraph"/>
    <w:basedOn w:val="Normalny"/>
    <w:uiPriority w:val="34"/>
    <w:qFormat/>
    <w:rsid w:val="004F7B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878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4A39-09DB-47D4-B7AF-E98119EB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14</Pages>
  <Words>6178</Words>
  <Characters>37073</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43165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ewa</dc:creator>
  <cp:keywords/>
  <cp:lastModifiedBy>Paweł Grzybek</cp:lastModifiedBy>
  <cp:revision>24</cp:revision>
  <dcterms:created xsi:type="dcterms:W3CDTF">2022-05-27T13:23:00Z</dcterms:created>
  <dcterms:modified xsi:type="dcterms:W3CDTF">2024-10-10T11:11:00Z</dcterms:modified>
</cp:coreProperties>
</file>